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AE" w:rsidRDefault="00D81CAE" w:rsidP="006A4D90">
      <w:pPr>
        <w:jc w:val="both"/>
        <w:rPr>
          <w:b/>
          <w:iCs/>
          <w:sz w:val="28"/>
          <w:szCs w:val="28"/>
          <w:lang w:val="kk-KZ"/>
        </w:rPr>
      </w:pPr>
    </w:p>
    <w:p w:rsidR="003F67CF" w:rsidRPr="003F67CF" w:rsidRDefault="003F67CF" w:rsidP="003F67CF">
      <w:pPr>
        <w:pStyle w:val="2"/>
        <w:tabs>
          <w:tab w:val="left" w:pos="851"/>
          <w:tab w:val="left" w:leader="underscore" w:pos="5463"/>
        </w:tabs>
        <w:ind w:left="6096" w:firstLine="0"/>
        <w:jc w:val="left"/>
        <w:rPr>
          <w:rFonts w:ascii="Times New Roman" w:hAnsi="Times New Roman"/>
          <w:sz w:val="28"/>
          <w:szCs w:val="28"/>
        </w:rPr>
      </w:pPr>
      <w:r w:rsidRPr="003F67CF">
        <w:rPr>
          <w:rFonts w:ascii="Times New Roman" w:hAnsi="Times New Roman"/>
          <w:sz w:val="28"/>
          <w:szCs w:val="28"/>
        </w:rPr>
        <w:t>Approved by the order of the Acting Chairman of the Committee on Statistics of the Ministry of National Economy of the Republic of Kazakhstan</w:t>
      </w:r>
    </w:p>
    <w:p w:rsidR="003F67CF" w:rsidRPr="003F67CF" w:rsidRDefault="003F67CF" w:rsidP="003F67CF">
      <w:pPr>
        <w:pStyle w:val="2"/>
        <w:tabs>
          <w:tab w:val="left" w:pos="851"/>
          <w:tab w:val="left" w:leader="underscore" w:pos="5463"/>
        </w:tabs>
        <w:ind w:left="6096" w:firstLine="0"/>
        <w:jc w:val="left"/>
        <w:rPr>
          <w:rFonts w:ascii="Times New Roman" w:hAnsi="Times New Roman"/>
          <w:sz w:val="28"/>
          <w:szCs w:val="28"/>
        </w:rPr>
      </w:pPr>
      <w:r w:rsidRPr="003F67CF">
        <w:rPr>
          <w:rFonts w:ascii="Times New Roman" w:hAnsi="Times New Roman"/>
          <w:sz w:val="28"/>
          <w:szCs w:val="28"/>
        </w:rPr>
        <w:t>dated Aug 16, 2017</w:t>
      </w:r>
    </w:p>
    <w:p w:rsidR="00D81CAE" w:rsidRPr="00D81CAE" w:rsidRDefault="003F67CF" w:rsidP="003F67CF">
      <w:pPr>
        <w:pStyle w:val="2"/>
        <w:shd w:val="clear" w:color="auto" w:fill="auto"/>
        <w:tabs>
          <w:tab w:val="left" w:pos="851"/>
          <w:tab w:val="left" w:leader="underscore" w:pos="5463"/>
        </w:tabs>
        <w:spacing w:before="0" w:line="240" w:lineRule="auto"/>
        <w:ind w:left="6096" w:firstLine="0"/>
        <w:jc w:val="left"/>
        <w:rPr>
          <w:rFonts w:ascii="Times New Roman" w:hAnsi="Times New Roman"/>
          <w:sz w:val="28"/>
          <w:szCs w:val="28"/>
        </w:rPr>
      </w:pPr>
      <w:r w:rsidRPr="003F67CF">
        <w:rPr>
          <w:rFonts w:ascii="Times New Roman" w:hAnsi="Times New Roman"/>
          <w:sz w:val="28"/>
          <w:szCs w:val="28"/>
        </w:rPr>
        <w:t>no. 118</w:t>
      </w:r>
    </w:p>
    <w:p w:rsidR="00D81CAE" w:rsidRPr="00902564" w:rsidRDefault="00D81CAE" w:rsidP="00D81CAE">
      <w:pPr>
        <w:rPr>
          <w:sz w:val="28"/>
          <w:szCs w:val="28"/>
        </w:rPr>
      </w:pPr>
    </w:p>
    <w:p w:rsidR="00D81CAE" w:rsidRPr="00902564" w:rsidRDefault="00D81CAE" w:rsidP="00D81CAE">
      <w:pPr>
        <w:rPr>
          <w:sz w:val="28"/>
          <w:szCs w:val="28"/>
        </w:rPr>
      </w:pPr>
    </w:p>
    <w:p w:rsidR="00D81CAE" w:rsidRPr="00902564" w:rsidRDefault="00D81CAE" w:rsidP="00D81CAE">
      <w:pPr>
        <w:jc w:val="center"/>
        <w:outlineLvl w:val="0"/>
        <w:rPr>
          <w:b/>
          <w:sz w:val="28"/>
          <w:szCs w:val="28"/>
        </w:rPr>
      </w:pPr>
      <w:r w:rsidRPr="00902564">
        <w:rPr>
          <w:b/>
          <w:sz w:val="28"/>
          <w:szCs w:val="28"/>
        </w:rPr>
        <w:t>Methodology for accounting for pension fund services</w:t>
      </w:r>
    </w:p>
    <w:p w:rsidR="00D81CAE" w:rsidRPr="00902564" w:rsidRDefault="00D81CAE" w:rsidP="00D81CAE">
      <w:pPr>
        <w:rPr>
          <w:sz w:val="28"/>
          <w:szCs w:val="28"/>
        </w:rPr>
      </w:pPr>
    </w:p>
    <w:p w:rsidR="00D81CAE" w:rsidRPr="00902564" w:rsidRDefault="00D81CAE" w:rsidP="00D81CAE">
      <w:pPr>
        <w:rPr>
          <w:sz w:val="28"/>
          <w:szCs w:val="28"/>
        </w:rPr>
      </w:pPr>
    </w:p>
    <w:p w:rsidR="00D81CAE" w:rsidRPr="00902564" w:rsidRDefault="00D81CAE" w:rsidP="00D81CAE">
      <w:pPr>
        <w:tabs>
          <w:tab w:val="left" w:pos="1701"/>
        </w:tabs>
        <w:suppressAutoHyphens/>
        <w:jc w:val="center"/>
        <w:outlineLvl w:val="0"/>
        <w:rPr>
          <w:sz w:val="28"/>
          <w:szCs w:val="28"/>
        </w:rPr>
      </w:pPr>
      <w:r w:rsidRPr="00902564">
        <w:rPr>
          <w:b/>
          <w:sz w:val="28"/>
          <w:szCs w:val="28"/>
        </w:rPr>
        <w:t xml:space="preserve">Chapter 1. General </w:t>
      </w:r>
      <w:r w:rsidR="00DC64AE">
        <w:rPr>
          <w:b/>
          <w:sz w:val="28"/>
          <w:szCs w:val="28"/>
        </w:rPr>
        <w:t>p</w:t>
      </w:r>
      <w:r w:rsidRPr="00902564">
        <w:rPr>
          <w:b/>
          <w:sz w:val="28"/>
          <w:szCs w:val="28"/>
        </w:rPr>
        <w:t>rovisions</w:t>
      </w:r>
    </w:p>
    <w:p w:rsidR="00D81CAE" w:rsidRPr="00902564" w:rsidRDefault="00D81CAE" w:rsidP="00D81CAE">
      <w:pPr>
        <w:rPr>
          <w:sz w:val="28"/>
          <w:szCs w:val="28"/>
        </w:rPr>
      </w:pPr>
    </w:p>
    <w:p w:rsidR="00D81CAE" w:rsidRPr="00902564" w:rsidRDefault="00D81CAE" w:rsidP="00D81CAE">
      <w:pPr>
        <w:pStyle w:val="Default"/>
        <w:numPr>
          <w:ilvl w:val="0"/>
          <w:numId w:val="10"/>
        </w:numPr>
        <w:ind w:left="0" w:firstLine="709"/>
        <w:jc w:val="both"/>
        <w:rPr>
          <w:color w:val="auto"/>
        </w:rPr>
      </w:pPr>
      <w:r w:rsidRPr="00902564">
        <w:rPr>
          <w:bCs/>
          <w:color w:val="auto"/>
          <w:kern w:val="32"/>
          <w:sz w:val="28"/>
          <w:szCs w:val="28"/>
        </w:rPr>
        <w:t xml:space="preserve">The Methodology </w:t>
      </w:r>
      <w:r w:rsidRPr="00902564">
        <w:rPr>
          <w:color w:val="auto"/>
          <w:sz w:val="28"/>
          <w:szCs w:val="28"/>
        </w:rPr>
        <w:t xml:space="preserve">for Accounting for the Services </w:t>
      </w:r>
      <w:r w:rsidRPr="00902564">
        <w:rPr>
          <w:color w:val="auto"/>
          <w:sz w:val="28"/>
          <w:szCs w:val="28"/>
          <w:shd w:val="clear" w:color="auto" w:fill="FFFFFF"/>
        </w:rPr>
        <w:t xml:space="preserve">of Pension Funds (hereinafter - the Methodology) </w:t>
      </w:r>
      <w:r w:rsidRPr="00902564">
        <w:rPr>
          <w:color w:val="auto"/>
          <w:sz w:val="28"/>
          <w:szCs w:val="28"/>
        </w:rPr>
        <w:t>refers to a statistical methodology formed in accordance with international standards and approved in accordance with the Law of the Republic of Kazakhstan dated March 19, 2010 "On State Statistics".</w:t>
      </w:r>
    </w:p>
    <w:p w:rsidR="00D81CAE" w:rsidRPr="00902564" w:rsidRDefault="00D81CAE" w:rsidP="00D81CAE">
      <w:pPr>
        <w:pStyle w:val="Default"/>
        <w:keepNext/>
        <w:keepLines/>
        <w:numPr>
          <w:ilvl w:val="0"/>
          <w:numId w:val="10"/>
        </w:numPr>
        <w:tabs>
          <w:tab w:val="left" w:pos="0"/>
        </w:tabs>
        <w:ind w:left="0" w:firstLine="709"/>
        <w:jc w:val="both"/>
        <w:rPr>
          <w:bCs/>
          <w:color w:val="auto"/>
          <w:kern w:val="32"/>
          <w:sz w:val="28"/>
          <w:szCs w:val="28"/>
        </w:rPr>
      </w:pPr>
      <w:r w:rsidRPr="00902564">
        <w:rPr>
          <w:color w:val="auto"/>
          <w:sz w:val="28"/>
          <w:szCs w:val="28"/>
        </w:rPr>
        <w:t>This Methodology is applied by the Statistics Committee of the Ministry of National Economy of the Republic of Kazakhstan (hereinafter - the Committee) when accounting for the services of pension funds.</w:t>
      </w:r>
    </w:p>
    <w:p w:rsidR="00D81CAE" w:rsidRDefault="00D81CAE" w:rsidP="00D81CAE">
      <w:pPr>
        <w:pStyle w:val="af"/>
        <w:numPr>
          <w:ilvl w:val="0"/>
          <w:numId w:val="10"/>
        </w:numPr>
        <w:tabs>
          <w:tab w:val="left" w:pos="851"/>
        </w:tabs>
        <w:ind w:left="0" w:firstLine="709"/>
        <w:rPr>
          <w:sz w:val="28"/>
          <w:szCs w:val="28"/>
        </w:rPr>
      </w:pPr>
      <w:r w:rsidRPr="00902564">
        <w:rPr>
          <w:bCs/>
          <w:kern w:val="32"/>
          <w:sz w:val="28"/>
          <w:szCs w:val="28"/>
        </w:rPr>
        <w:t>The purpose of this Methodology is to improve the calculation of pension fund services and increase the reliability of estimates of gross output, intermediate consumption and value added created in the financial sector.</w:t>
      </w:r>
    </w:p>
    <w:p w:rsidR="00D81CAE" w:rsidRPr="002A5BA3" w:rsidRDefault="00D81CAE" w:rsidP="00D81CAE">
      <w:pPr>
        <w:pStyle w:val="af"/>
        <w:numPr>
          <w:ilvl w:val="0"/>
          <w:numId w:val="10"/>
        </w:numPr>
        <w:tabs>
          <w:tab w:val="left" w:pos="851"/>
        </w:tabs>
        <w:ind w:left="0" w:firstLine="709"/>
        <w:rPr>
          <w:sz w:val="28"/>
          <w:szCs w:val="28"/>
        </w:rPr>
      </w:pPr>
      <w:r w:rsidRPr="002A5BA3">
        <w:rPr>
          <w:sz w:val="28"/>
          <w:szCs w:val="28"/>
        </w:rPr>
        <w:t xml:space="preserve">The System of National Accounts 2008 (hereinafter - SNA 2008), Government Finance Statistics Manual 2014 (hereinafter - Manual) was used as a methodological basis </w:t>
      </w:r>
      <w:r w:rsidRPr="002A5BA3">
        <w:rPr>
          <w:bCs/>
          <w:kern w:val="32"/>
          <w:sz w:val="28"/>
          <w:szCs w:val="28"/>
        </w:rPr>
        <w:t>.</w:t>
      </w:r>
    </w:p>
    <w:p w:rsidR="00D81CAE" w:rsidRPr="00902564" w:rsidRDefault="00D81CAE" w:rsidP="00D81CAE">
      <w:pPr>
        <w:tabs>
          <w:tab w:val="left" w:pos="851"/>
        </w:tabs>
        <w:rPr>
          <w:sz w:val="28"/>
          <w:szCs w:val="28"/>
        </w:rPr>
      </w:pPr>
      <w:r>
        <w:rPr>
          <w:sz w:val="28"/>
          <w:szCs w:val="28"/>
        </w:rPr>
        <w:t>5. The following definitions are used in this Methodology:</w:t>
      </w:r>
    </w:p>
    <w:p w:rsidR="00D81CAE" w:rsidRDefault="00D81CAE" w:rsidP="00D81CAE">
      <w:pPr>
        <w:pStyle w:val="af"/>
        <w:tabs>
          <w:tab w:val="left" w:pos="851"/>
        </w:tabs>
        <w:rPr>
          <w:sz w:val="28"/>
          <w:szCs w:val="28"/>
        </w:rPr>
      </w:pPr>
      <w:r w:rsidRPr="00902564">
        <w:rPr>
          <w:sz w:val="28"/>
          <w:szCs w:val="28"/>
        </w:rPr>
        <w:t>1) intermediate consumption - represents the cost of goods and services that are transformed or completely consumed in the reporting period as costs for the production of goods and services in the production process;</w:t>
      </w:r>
    </w:p>
    <w:p w:rsidR="00D81CAE" w:rsidRPr="008B664B" w:rsidRDefault="00D81CAE" w:rsidP="00D81CAE">
      <w:pPr>
        <w:pStyle w:val="af"/>
        <w:tabs>
          <w:tab w:val="left" w:pos="851"/>
        </w:tabs>
        <w:rPr>
          <w:sz w:val="28"/>
          <w:szCs w:val="28"/>
        </w:rPr>
      </w:pPr>
      <w:r>
        <w:rPr>
          <w:sz w:val="28"/>
          <w:szCs w:val="28"/>
        </w:rPr>
        <w:t>2) gross value added - characterizes the final result of production activity and represents the value added by processing in this production process. Calculated at the level of sectors as the difference between the output of goods and services and intermediate consumption, includes the cost of fixed capital consumed in the production process;</w:t>
      </w:r>
    </w:p>
    <w:p w:rsidR="00D81CAE" w:rsidRDefault="00D81CAE" w:rsidP="00D81CAE">
      <w:pPr>
        <w:pStyle w:val="af"/>
        <w:tabs>
          <w:tab w:val="left" w:pos="851"/>
        </w:tabs>
        <w:rPr>
          <w:sz w:val="28"/>
          <w:szCs w:val="28"/>
        </w:rPr>
      </w:pPr>
      <w:r>
        <w:rPr>
          <w:sz w:val="28"/>
          <w:szCs w:val="28"/>
        </w:rPr>
        <w:t xml:space="preserve">3 </w:t>
      </w:r>
      <w:r w:rsidRPr="00902564">
        <w:rPr>
          <w:sz w:val="28"/>
          <w:szCs w:val="28"/>
        </w:rPr>
        <w:t>) institutional unit - an economic unit that is capable of owning assets, incurring liabilities, participating in economic activities and entering into transactions with other units on its own behalf;</w:t>
      </w:r>
    </w:p>
    <w:p w:rsidR="00D81CAE" w:rsidRPr="00902564" w:rsidRDefault="00D81CAE" w:rsidP="00D81CAE">
      <w:pPr>
        <w:ind w:firstLine="708"/>
        <w:rPr>
          <w:sz w:val="28"/>
          <w:szCs w:val="28"/>
        </w:rPr>
      </w:pPr>
      <w:r>
        <w:rPr>
          <w:sz w:val="28"/>
          <w:szCs w:val="28"/>
        </w:rPr>
        <w:lastRenderedPageBreak/>
        <w:t>4) financial corporations - all resident corporations that are mainly engaged in the provision of financial services to other institutional units, including insurance services and pension funds;</w:t>
      </w:r>
    </w:p>
    <w:p w:rsidR="00D81CAE" w:rsidRPr="00902564" w:rsidRDefault="00D81CAE" w:rsidP="00D81CAE">
      <w:pPr>
        <w:ind w:firstLine="708"/>
        <w:rPr>
          <w:sz w:val="28"/>
          <w:szCs w:val="28"/>
        </w:rPr>
      </w:pPr>
      <w:r>
        <w:rPr>
          <w:sz w:val="28"/>
          <w:szCs w:val="28"/>
        </w:rPr>
        <w:t>5) non-market output - goods and individual or collective services produced by non-profit organizations serving households or government bodies, provided to other institutional units or to society as a whole free of charge or at economically insignificant prices;</w:t>
      </w:r>
    </w:p>
    <w:p w:rsidR="00D81CAE" w:rsidRPr="00902564" w:rsidRDefault="00D81CAE" w:rsidP="00D81CAE">
      <w:pPr>
        <w:rPr>
          <w:sz w:val="28"/>
          <w:szCs w:val="28"/>
        </w:rPr>
      </w:pPr>
      <w:r>
        <w:rPr>
          <w:sz w:val="28"/>
          <w:szCs w:val="28"/>
        </w:rPr>
        <w:t>6) market issue - an issue intended for sale at economically significant prices;</w:t>
      </w:r>
    </w:p>
    <w:p w:rsidR="00D81CAE" w:rsidRPr="00902564" w:rsidRDefault="00D81CAE" w:rsidP="00D81CAE">
      <w:pPr>
        <w:pStyle w:val="af1"/>
        <w:tabs>
          <w:tab w:val="left" w:pos="851"/>
        </w:tabs>
        <w:spacing w:before="0" w:after="0"/>
        <w:ind w:firstLine="720"/>
        <w:rPr>
          <w:noProof w:val="0"/>
          <w:sz w:val="28"/>
          <w:szCs w:val="28"/>
        </w:rPr>
      </w:pPr>
      <w:r>
        <w:rPr>
          <w:sz w:val="28"/>
          <w:szCs w:val="28"/>
        </w:rPr>
        <w:t xml:space="preserve">7) </w:t>
      </w:r>
      <w:r w:rsidRPr="00BF4D07">
        <w:rPr>
          <w:noProof w:val="0"/>
          <w:sz w:val="28"/>
          <w:szCs w:val="28"/>
        </w:rPr>
        <w:t>system of national accounts - a system of statistical indicators built in the form of a certain set of accounts and tables characterizing the results of the country's economic activity;</w:t>
      </w:r>
    </w:p>
    <w:p w:rsidR="00D81CAE" w:rsidRPr="00902564" w:rsidRDefault="00D81CAE" w:rsidP="00D81CAE">
      <w:pPr>
        <w:rPr>
          <w:sz w:val="28"/>
          <w:szCs w:val="28"/>
        </w:rPr>
      </w:pPr>
      <w:r>
        <w:rPr>
          <w:sz w:val="28"/>
          <w:szCs w:val="28"/>
        </w:rPr>
        <w:t>8) non-profit organizations serving households (hereinafter - NPOSH) - consist of non-market non-profit organizations that are not controlled by government bodies.</w:t>
      </w:r>
    </w:p>
    <w:p w:rsidR="00D81CAE" w:rsidRPr="00902564" w:rsidRDefault="00D81CAE" w:rsidP="00D81CAE">
      <w:pPr>
        <w:tabs>
          <w:tab w:val="left" w:pos="1701"/>
        </w:tabs>
        <w:suppressAutoHyphens/>
        <w:jc w:val="center"/>
        <w:rPr>
          <w:sz w:val="28"/>
          <w:szCs w:val="28"/>
        </w:rPr>
      </w:pPr>
    </w:p>
    <w:p w:rsidR="00D81CAE" w:rsidRPr="00902564" w:rsidRDefault="00D81CAE" w:rsidP="00D81CAE">
      <w:pPr>
        <w:tabs>
          <w:tab w:val="left" w:pos="1701"/>
        </w:tabs>
        <w:suppressAutoHyphens/>
        <w:jc w:val="center"/>
        <w:rPr>
          <w:sz w:val="28"/>
          <w:szCs w:val="28"/>
        </w:rPr>
      </w:pPr>
    </w:p>
    <w:p w:rsidR="00D81CAE" w:rsidRDefault="00D81CAE" w:rsidP="00D81CAE">
      <w:pPr>
        <w:tabs>
          <w:tab w:val="left" w:pos="1701"/>
        </w:tabs>
        <w:suppressAutoHyphens/>
        <w:jc w:val="center"/>
        <w:rPr>
          <w:b/>
          <w:sz w:val="28"/>
          <w:szCs w:val="28"/>
        </w:rPr>
      </w:pPr>
      <w:r w:rsidRPr="00902564">
        <w:rPr>
          <w:b/>
          <w:sz w:val="28"/>
          <w:szCs w:val="28"/>
        </w:rPr>
        <w:t>Chapter 2 Accounting for pension fund services in the 2008 System of National Accounts</w:t>
      </w:r>
    </w:p>
    <w:p w:rsidR="00D81CAE" w:rsidRPr="00902564" w:rsidRDefault="00D81CAE" w:rsidP="00D81CAE">
      <w:pPr>
        <w:tabs>
          <w:tab w:val="left" w:pos="1701"/>
        </w:tabs>
        <w:suppressAutoHyphens/>
        <w:jc w:val="center"/>
        <w:rPr>
          <w:sz w:val="28"/>
          <w:szCs w:val="28"/>
        </w:rPr>
      </w:pPr>
    </w:p>
    <w:p w:rsidR="00D81CAE" w:rsidRPr="00902564" w:rsidRDefault="00D81CAE" w:rsidP="00D81CAE">
      <w:pPr>
        <w:numPr>
          <w:ilvl w:val="0"/>
          <w:numId w:val="11"/>
        </w:numPr>
        <w:tabs>
          <w:tab w:val="left" w:pos="993"/>
        </w:tabs>
        <w:autoSpaceDE w:val="0"/>
        <w:autoSpaceDN w:val="0"/>
        <w:adjustRightInd w:val="0"/>
        <w:ind w:left="0" w:firstLine="709"/>
        <w:jc w:val="both"/>
        <w:rPr>
          <w:sz w:val="28"/>
          <w:szCs w:val="28"/>
        </w:rPr>
      </w:pPr>
      <w:r w:rsidRPr="00902564">
        <w:rPr>
          <w:sz w:val="28"/>
          <w:szCs w:val="28"/>
        </w:rPr>
        <w:t>SNA 2008 distinguishes between market and non-market output and how they are valued. The output of services of a pension fund operating as a market producer is determined on the basis of information on income from its activities. The value of the output of services of a pension fund operating as a non-market producer is determined by the sum of production costs.</w:t>
      </w:r>
    </w:p>
    <w:p w:rsidR="00D81CAE" w:rsidRDefault="00D81CAE" w:rsidP="00D81CAE">
      <w:pPr>
        <w:tabs>
          <w:tab w:val="left" w:pos="993"/>
        </w:tabs>
        <w:autoSpaceDE w:val="0"/>
        <w:autoSpaceDN w:val="0"/>
        <w:adjustRightInd w:val="0"/>
        <w:jc w:val="both"/>
        <w:rPr>
          <w:sz w:val="28"/>
          <w:szCs w:val="28"/>
        </w:rPr>
      </w:pPr>
      <w:r>
        <w:rPr>
          <w:sz w:val="28"/>
          <w:szCs w:val="28"/>
        </w:rPr>
        <w:tab/>
      </w:r>
      <w:r w:rsidRPr="00902564">
        <w:rPr>
          <w:sz w:val="28"/>
          <w:szCs w:val="28"/>
        </w:rPr>
        <w:t>Accounting for pension funds in SNA 2008 as market or non-market producers depends on whether the unit belongs to the institutional sector of the economy.</w:t>
      </w:r>
    </w:p>
    <w:p w:rsidR="00D81CAE" w:rsidRPr="00902564" w:rsidRDefault="00D81CAE" w:rsidP="00D81CAE">
      <w:pPr>
        <w:numPr>
          <w:ilvl w:val="0"/>
          <w:numId w:val="11"/>
        </w:numPr>
        <w:tabs>
          <w:tab w:val="left" w:pos="142"/>
          <w:tab w:val="left" w:pos="993"/>
        </w:tabs>
        <w:autoSpaceDE w:val="0"/>
        <w:autoSpaceDN w:val="0"/>
        <w:adjustRightInd w:val="0"/>
        <w:ind w:left="0" w:firstLine="709"/>
        <w:jc w:val="both"/>
        <w:rPr>
          <w:sz w:val="28"/>
          <w:szCs w:val="28"/>
        </w:rPr>
      </w:pPr>
      <w:r>
        <w:rPr>
          <w:sz w:val="28"/>
          <w:szCs w:val="28"/>
        </w:rPr>
        <w:t>According to the Guidelines, there are two approaches to assigning pension funds to sectors of the economy: assigning pension funds to the general government sector as a non-market producer or the financial corporations sector as a market producer. The main criterion for classifying a pension fund as a sector of the economy is whether the unit meets the criteria for an institutional unit.</w:t>
      </w:r>
    </w:p>
    <w:p w:rsidR="00D81CAE" w:rsidRPr="00773DB2" w:rsidRDefault="00D81CAE" w:rsidP="00D81CAE">
      <w:pPr>
        <w:numPr>
          <w:ilvl w:val="0"/>
          <w:numId w:val="11"/>
        </w:numPr>
        <w:tabs>
          <w:tab w:val="left" w:pos="142"/>
          <w:tab w:val="left" w:pos="993"/>
        </w:tabs>
        <w:autoSpaceDE w:val="0"/>
        <w:autoSpaceDN w:val="0"/>
        <w:adjustRightInd w:val="0"/>
        <w:ind w:left="0" w:firstLine="709"/>
        <w:jc w:val="both"/>
        <w:rPr>
          <w:sz w:val="28"/>
          <w:szCs w:val="28"/>
        </w:rPr>
      </w:pPr>
      <w:r>
        <w:rPr>
          <w:sz w:val="28"/>
          <w:szCs w:val="28"/>
        </w:rPr>
        <w:t>Institutional units are grouped into five institutional sectors that form the country's economy:</w:t>
      </w:r>
    </w:p>
    <w:p w:rsidR="00D81CAE" w:rsidRPr="00902564" w:rsidRDefault="00D81CAE" w:rsidP="00D81CAE">
      <w:pPr>
        <w:tabs>
          <w:tab w:val="left" w:pos="142"/>
          <w:tab w:val="left" w:pos="993"/>
        </w:tabs>
        <w:autoSpaceDE w:val="0"/>
        <w:autoSpaceDN w:val="0"/>
        <w:adjustRightInd w:val="0"/>
        <w:ind w:left="709"/>
        <w:rPr>
          <w:sz w:val="28"/>
          <w:szCs w:val="28"/>
        </w:rPr>
      </w:pPr>
      <w:r w:rsidRPr="00902564">
        <w:rPr>
          <w:sz w:val="28"/>
          <w:szCs w:val="28"/>
        </w:rPr>
        <w:t>sector of non-financial corporations;</w:t>
      </w:r>
    </w:p>
    <w:p w:rsidR="00D81CAE" w:rsidRPr="00902564" w:rsidRDefault="00D81CAE" w:rsidP="00D81CAE">
      <w:pPr>
        <w:tabs>
          <w:tab w:val="left" w:pos="142"/>
          <w:tab w:val="left" w:pos="993"/>
        </w:tabs>
        <w:autoSpaceDE w:val="0"/>
        <w:autoSpaceDN w:val="0"/>
        <w:adjustRightInd w:val="0"/>
        <w:ind w:left="709"/>
        <w:rPr>
          <w:sz w:val="28"/>
          <w:szCs w:val="28"/>
        </w:rPr>
      </w:pPr>
      <w:r w:rsidRPr="00902564">
        <w:rPr>
          <w:sz w:val="28"/>
          <w:szCs w:val="28"/>
        </w:rPr>
        <w:t>financial corporations sector;</w:t>
      </w:r>
    </w:p>
    <w:p w:rsidR="00D81CAE" w:rsidRPr="00902564" w:rsidRDefault="00D81CAE" w:rsidP="00D81CAE">
      <w:pPr>
        <w:tabs>
          <w:tab w:val="left" w:pos="142"/>
          <w:tab w:val="left" w:pos="993"/>
        </w:tabs>
        <w:autoSpaceDE w:val="0"/>
        <w:autoSpaceDN w:val="0"/>
        <w:adjustRightInd w:val="0"/>
        <w:ind w:left="709"/>
        <w:rPr>
          <w:sz w:val="28"/>
          <w:szCs w:val="28"/>
        </w:rPr>
      </w:pPr>
      <w:r w:rsidRPr="00902564">
        <w:rPr>
          <w:sz w:val="28"/>
          <w:szCs w:val="28"/>
        </w:rPr>
        <w:t>public administration sector;</w:t>
      </w:r>
    </w:p>
    <w:p w:rsidR="00D81CAE" w:rsidRPr="00902564" w:rsidRDefault="00D81CAE" w:rsidP="00D81CAE">
      <w:pPr>
        <w:tabs>
          <w:tab w:val="left" w:pos="142"/>
          <w:tab w:val="left" w:pos="993"/>
        </w:tabs>
        <w:autoSpaceDE w:val="0"/>
        <w:autoSpaceDN w:val="0"/>
        <w:adjustRightInd w:val="0"/>
        <w:ind w:left="709"/>
        <w:rPr>
          <w:sz w:val="28"/>
          <w:szCs w:val="28"/>
        </w:rPr>
      </w:pPr>
      <w:r w:rsidRPr="00902564">
        <w:rPr>
          <w:sz w:val="28"/>
          <w:szCs w:val="28"/>
        </w:rPr>
        <w:t>NPOSH sector;</w:t>
      </w:r>
    </w:p>
    <w:p w:rsidR="00D81CAE" w:rsidRDefault="00D81CAE" w:rsidP="00D81CAE">
      <w:pPr>
        <w:tabs>
          <w:tab w:val="left" w:pos="142"/>
          <w:tab w:val="left" w:pos="993"/>
        </w:tabs>
        <w:autoSpaceDE w:val="0"/>
        <w:autoSpaceDN w:val="0"/>
        <w:adjustRightInd w:val="0"/>
        <w:ind w:left="709"/>
        <w:rPr>
          <w:sz w:val="28"/>
          <w:szCs w:val="28"/>
        </w:rPr>
      </w:pPr>
      <w:r w:rsidRPr="00902564">
        <w:rPr>
          <w:sz w:val="28"/>
          <w:szCs w:val="28"/>
        </w:rPr>
        <w:t>household sector.</w:t>
      </w:r>
    </w:p>
    <w:p w:rsidR="00D81CAE" w:rsidRPr="00902564" w:rsidRDefault="00D81CAE" w:rsidP="00D81CAE">
      <w:pPr>
        <w:tabs>
          <w:tab w:val="left" w:pos="142"/>
          <w:tab w:val="left" w:pos="993"/>
        </w:tabs>
        <w:autoSpaceDE w:val="0"/>
        <w:autoSpaceDN w:val="0"/>
        <w:adjustRightInd w:val="0"/>
        <w:ind w:firstLine="709"/>
        <w:jc w:val="both"/>
        <w:rPr>
          <w:sz w:val="28"/>
          <w:szCs w:val="28"/>
        </w:rPr>
      </w:pPr>
      <w:r w:rsidRPr="00902564">
        <w:rPr>
          <w:sz w:val="28"/>
          <w:szCs w:val="28"/>
        </w:rPr>
        <w:t xml:space="preserve">The conceptual basis for classifying a particular unit as </w:t>
      </w:r>
      <w:r>
        <w:rPr>
          <w:sz w:val="28"/>
          <w:szCs w:val="28"/>
          <w:lang w:val="kk-KZ"/>
        </w:rPr>
        <w:t>relevant</w:t>
      </w:r>
      <w:r w:rsidRPr="00902564">
        <w:rPr>
          <w:sz w:val="28"/>
          <w:szCs w:val="28"/>
        </w:rPr>
        <w:t xml:space="preserve"> </w:t>
      </w:r>
      <w:r>
        <w:rPr>
          <w:sz w:val="28"/>
          <w:szCs w:val="28"/>
          <w:lang w:val="kk-KZ"/>
        </w:rPr>
        <w:t xml:space="preserve">institutional </w:t>
      </w:r>
      <w:r w:rsidRPr="00902564">
        <w:rPr>
          <w:sz w:val="28"/>
          <w:szCs w:val="28"/>
        </w:rPr>
        <w:t xml:space="preserve">sectors </w:t>
      </w:r>
      <w:r>
        <w:rPr>
          <w:sz w:val="28"/>
          <w:szCs w:val="28"/>
          <w:lang w:val="kk-KZ"/>
        </w:rPr>
        <w:t xml:space="preserve">of </w:t>
      </w:r>
      <w:r w:rsidRPr="00902564">
        <w:rPr>
          <w:sz w:val="28"/>
          <w:szCs w:val="28"/>
        </w:rPr>
        <w:t xml:space="preserve">the economy in SNA 2008 is presented in </w:t>
      </w:r>
      <w:r w:rsidR="00DC64AE">
        <w:rPr>
          <w:sz w:val="28"/>
          <w:szCs w:val="28"/>
        </w:rPr>
        <w:t>Appendix</w:t>
      </w:r>
      <w:r w:rsidRPr="00902564">
        <w:rPr>
          <w:sz w:val="28"/>
          <w:szCs w:val="28"/>
        </w:rPr>
        <w:t xml:space="preserve"> 1 to this Methodology.</w:t>
      </w:r>
    </w:p>
    <w:p w:rsidR="00D81CAE" w:rsidRPr="008F2AC1" w:rsidRDefault="00D81CAE" w:rsidP="00D81CAE">
      <w:pPr>
        <w:numPr>
          <w:ilvl w:val="0"/>
          <w:numId w:val="11"/>
        </w:numPr>
        <w:tabs>
          <w:tab w:val="left" w:pos="142"/>
          <w:tab w:val="left" w:pos="993"/>
        </w:tabs>
        <w:autoSpaceDE w:val="0"/>
        <w:autoSpaceDN w:val="0"/>
        <w:adjustRightInd w:val="0"/>
        <w:ind w:left="0" w:firstLine="709"/>
        <w:jc w:val="both"/>
        <w:rPr>
          <w:sz w:val="28"/>
          <w:szCs w:val="28"/>
        </w:rPr>
      </w:pPr>
      <w:r w:rsidRPr="008F2AC1">
        <w:rPr>
          <w:sz w:val="28"/>
          <w:szCs w:val="28"/>
        </w:rPr>
        <w:t xml:space="preserve">A state-controlled pension fund that meets the criteria for an institutional unit is treated as a public financial corporation. The public financial corporations subsector is formed as a result of the implementation of public policy objectives by </w:t>
      </w:r>
      <w:r w:rsidRPr="008F2AC1">
        <w:rPr>
          <w:sz w:val="28"/>
          <w:szCs w:val="28"/>
        </w:rPr>
        <w:lastRenderedPageBreak/>
        <w:t xml:space="preserve">the government with the help of public corporations (for example, railways, airlines, public utilities and public financial corporations). </w:t>
      </w:r>
      <w:r w:rsidR="00DC64AE">
        <w:rPr>
          <w:sz w:val="28"/>
          <w:szCs w:val="28"/>
        </w:rPr>
        <w:t>Appendix</w:t>
      </w:r>
      <w:r w:rsidRPr="008F2AC1">
        <w:rPr>
          <w:sz w:val="28"/>
          <w:szCs w:val="28"/>
        </w:rPr>
        <w:t xml:space="preserve"> 2 to this Methodology shows </w:t>
      </w:r>
      <w:r>
        <w:rPr>
          <w:sz w:val="28"/>
          <w:szCs w:val="28"/>
          <w:lang w:val="kk-KZ"/>
        </w:rPr>
        <w:t xml:space="preserve">the public </w:t>
      </w:r>
      <w:r w:rsidRPr="00750647">
        <w:rPr>
          <w:sz w:val="28"/>
          <w:szCs w:val="28"/>
        </w:rPr>
        <w:t xml:space="preserve">sector and </w:t>
      </w:r>
      <w:r>
        <w:rPr>
          <w:sz w:val="28"/>
          <w:szCs w:val="28"/>
          <w:lang w:val="kk-KZ"/>
        </w:rPr>
        <w:t xml:space="preserve">its relationship with </w:t>
      </w:r>
      <w:r w:rsidRPr="00750647">
        <w:rPr>
          <w:sz w:val="28"/>
          <w:szCs w:val="28"/>
        </w:rPr>
        <w:t>the institutional sectors of the economy. A state-controlled pension fund that does not meet the criteria for an institutional unit belongs to the general government sector.</w:t>
      </w:r>
    </w:p>
    <w:p w:rsidR="00D81CAE" w:rsidRDefault="00D81CAE" w:rsidP="00D81CAE">
      <w:pPr>
        <w:autoSpaceDE w:val="0"/>
        <w:autoSpaceDN w:val="0"/>
        <w:adjustRightInd w:val="0"/>
        <w:rPr>
          <w:sz w:val="28"/>
          <w:szCs w:val="28"/>
        </w:rPr>
      </w:pPr>
    </w:p>
    <w:p w:rsidR="00D81CAE" w:rsidRPr="00902564" w:rsidRDefault="00D81CAE" w:rsidP="00D81CAE">
      <w:pPr>
        <w:autoSpaceDE w:val="0"/>
        <w:autoSpaceDN w:val="0"/>
        <w:adjustRightInd w:val="0"/>
        <w:rPr>
          <w:sz w:val="28"/>
          <w:szCs w:val="28"/>
        </w:rPr>
      </w:pPr>
    </w:p>
    <w:p w:rsidR="00D81CAE" w:rsidRDefault="00D81CAE" w:rsidP="00D81CAE">
      <w:pPr>
        <w:autoSpaceDE w:val="0"/>
        <w:autoSpaceDN w:val="0"/>
        <w:adjustRightInd w:val="0"/>
        <w:jc w:val="center"/>
        <w:rPr>
          <w:b/>
          <w:sz w:val="28"/>
          <w:szCs w:val="28"/>
        </w:rPr>
      </w:pPr>
      <w:r w:rsidRPr="00902564">
        <w:rPr>
          <w:b/>
          <w:sz w:val="28"/>
          <w:szCs w:val="28"/>
        </w:rPr>
        <w:t xml:space="preserve">Chapter 3. Calculation of gross output </w:t>
      </w:r>
      <w:r w:rsidRPr="00902564">
        <w:rPr>
          <w:b/>
        </w:rPr>
        <w:t xml:space="preserve">, </w:t>
      </w:r>
      <w:r w:rsidRPr="00902564">
        <w:rPr>
          <w:b/>
          <w:sz w:val="28"/>
          <w:szCs w:val="28"/>
        </w:rPr>
        <w:t>intermediate consumption and gross value added of pension fund services</w:t>
      </w:r>
    </w:p>
    <w:p w:rsidR="00D81CAE" w:rsidRPr="00902564" w:rsidRDefault="00D81CAE" w:rsidP="00D81CAE">
      <w:pPr>
        <w:autoSpaceDE w:val="0"/>
        <w:autoSpaceDN w:val="0"/>
        <w:adjustRightInd w:val="0"/>
        <w:rPr>
          <w:sz w:val="28"/>
          <w:szCs w:val="28"/>
        </w:rPr>
      </w:pPr>
    </w:p>
    <w:p w:rsidR="00D81CAE" w:rsidRPr="00EC29A6" w:rsidRDefault="00D81CAE" w:rsidP="00D81CAE">
      <w:pPr>
        <w:numPr>
          <w:ilvl w:val="0"/>
          <w:numId w:val="11"/>
        </w:numPr>
        <w:tabs>
          <w:tab w:val="left" w:pos="1134"/>
        </w:tabs>
        <w:ind w:left="0" w:firstLine="709"/>
        <w:jc w:val="both"/>
        <w:rPr>
          <w:sz w:val="28"/>
          <w:szCs w:val="28"/>
        </w:rPr>
      </w:pPr>
      <w:r>
        <w:rPr>
          <w:sz w:val="28"/>
          <w:szCs w:val="28"/>
        </w:rPr>
        <w:t>To calculate the gross output and intermediate consumption of the services of the Unified Accumulative Pension Fund (hereinafter - UAPF), administrative data from administrative sources are used.</w:t>
      </w:r>
    </w:p>
    <w:p w:rsidR="00D81CAE" w:rsidRPr="00902564" w:rsidRDefault="00D81CAE" w:rsidP="00D81CAE">
      <w:pPr>
        <w:numPr>
          <w:ilvl w:val="0"/>
          <w:numId w:val="11"/>
        </w:numPr>
        <w:tabs>
          <w:tab w:val="left" w:pos="1134"/>
        </w:tabs>
        <w:ind w:left="0" w:firstLine="709"/>
        <w:jc w:val="both"/>
        <w:rPr>
          <w:sz w:val="28"/>
          <w:szCs w:val="28"/>
        </w:rPr>
      </w:pPr>
      <w:r w:rsidRPr="00902564">
        <w:rPr>
          <w:sz w:val="28"/>
          <w:szCs w:val="28"/>
        </w:rPr>
        <w:t>Gross value added is calculated as the difference between gross output and intermediate consumption. The calculation of gross output, intermediate consumption and gross value added of UAPF services is presented in Appendix 3 to this Methodology.</w:t>
      </w:r>
    </w:p>
    <w:p w:rsidR="00D81CAE" w:rsidRPr="00902564" w:rsidRDefault="00D81CAE" w:rsidP="00D81CAE">
      <w:pPr>
        <w:tabs>
          <w:tab w:val="left" w:pos="851"/>
        </w:tabs>
        <w:ind w:firstLine="709"/>
        <w:jc w:val="both"/>
        <w:rPr>
          <w:sz w:val="28"/>
          <w:szCs w:val="28"/>
        </w:rPr>
      </w:pPr>
      <w:r w:rsidRPr="00902564">
        <w:rPr>
          <w:sz w:val="28"/>
          <w:szCs w:val="28"/>
        </w:rPr>
        <w:t>Gross output of UAPF services includes commissions from pension assets and from investment income (loss) on pension assets, as well as other income.</w:t>
      </w:r>
    </w:p>
    <w:p w:rsidR="00D81CAE" w:rsidRPr="00902564" w:rsidRDefault="00D81CAE" w:rsidP="00D81CAE">
      <w:pPr>
        <w:tabs>
          <w:tab w:val="left" w:pos="1134"/>
        </w:tabs>
        <w:ind w:firstLine="709"/>
        <w:jc w:val="both"/>
        <w:rPr>
          <w:sz w:val="28"/>
          <w:szCs w:val="28"/>
        </w:rPr>
      </w:pPr>
      <w:r w:rsidRPr="00902564">
        <w:rPr>
          <w:sz w:val="28"/>
          <w:szCs w:val="28"/>
        </w:rPr>
        <w:t>Intermediate consumption is calculated as the sum of commission expenses, current lease expenses, other administrative expenses, other expenses.</w:t>
      </w:r>
    </w:p>
    <w:p w:rsidR="00D81CAE" w:rsidRPr="00902564" w:rsidRDefault="00D81CAE" w:rsidP="00D81CAE">
      <w:pPr>
        <w:ind w:left="6521"/>
        <w:rPr>
          <w:sz w:val="28"/>
          <w:szCs w:val="28"/>
        </w:rPr>
      </w:pPr>
      <w:r>
        <w:rPr>
          <w:sz w:val="28"/>
          <w:szCs w:val="28"/>
        </w:rPr>
        <w:br w:type="page"/>
      </w:r>
      <w:r w:rsidR="003F67CF">
        <w:rPr>
          <w:sz w:val="28"/>
          <w:szCs w:val="28"/>
        </w:rPr>
        <w:lastRenderedPageBreak/>
        <w:t xml:space="preserve">Appendix </w:t>
      </w:r>
      <w:r w:rsidRPr="00902564">
        <w:rPr>
          <w:sz w:val="28"/>
          <w:szCs w:val="28"/>
        </w:rPr>
        <w:t>1</w:t>
      </w:r>
    </w:p>
    <w:p w:rsidR="00D81CAE" w:rsidRDefault="003F67CF" w:rsidP="00D81CAE">
      <w:pPr>
        <w:autoSpaceDE w:val="0"/>
        <w:autoSpaceDN w:val="0"/>
        <w:adjustRightInd w:val="0"/>
        <w:rPr>
          <w:sz w:val="28"/>
          <w:szCs w:val="28"/>
        </w:rPr>
      </w:pPr>
      <w:r w:rsidRPr="003F67CF">
        <w:rPr>
          <w:sz w:val="28"/>
          <w:szCs w:val="28"/>
        </w:rPr>
        <w:t>to the Methodology for Accounting for Pension Fund Services</w:t>
      </w:r>
    </w:p>
    <w:p w:rsidR="00D81CAE" w:rsidRDefault="00D81CAE" w:rsidP="00D81CAE">
      <w:pPr>
        <w:autoSpaceDE w:val="0"/>
        <w:autoSpaceDN w:val="0"/>
        <w:adjustRightInd w:val="0"/>
        <w:rPr>
          <w:sz w:val="28"/>
          <w:szCs w:val="28"/>
        </w:rPr>
      </w:pPr>
    </w:p>
    <w:p w:rsidR="00D81CAE" w:rsidRDefault="00D81CAE" w:rsidP="00D81CAE">
      <w:pPr>
        <w:autoSpaceDE w:val="0"/>
        <w:autoSpaceDN w:val="0"/>
        <w:adjustRightInd w:val="0"/>
        <w:jc w:val="center"/>
        <w:outlineLvl w:val="0"/>
        <w:rPr>
          <w:b/>
        </w:rPr>
      </w:pPr>
    </w:p>
    <w:p w:rsidR="00D81CAE" w:rsidRPr="00AC1696" w:rsidRDefault="00D81CAE" w:rsidP="00D81CAE">
      <w:pPr>
        <w:autoSpaceDE w:val="0"/>
        <w:autoSpaceDN w:val="0"/>
        <w:adjustRightInd w:val="0"/>
        <w:jc w:val="center"/>
        <w:outlineLvl w:val="0"/>
        <w:rPr>
          <w:b/>
          <w:sz w:val="28"/>
          <w:szCs w:val="28"/>
        </w:rPr>
      </w:pPr>
      <w:r w:rsidRPr="00AC1696">
        <w:rPr>
          <w:b/>
          <w:sz w:val="28"/>
          <w:szCs w:val="28"/>
        </w:rPr>
        <w:t xml:space="preserve">Assignment of units to institutional sectors </w:t>
      </w:r>
      <w:r>
        <w:rPr>
          <w:b/>
          <w:sz w:val="28"/>
          <w:szCs w:val="28"/>
          <w:lang w:val="kk-KZ"/>
        </w:rPr>
        <w:t xml:space="preserve">of the economy </w:t>
      </w:r>
      <w:r w:rsidRPr="00AC1696">
        <w:rPr>
          <w:b/>
          <w:sz w:val="28"/>
          <w:szCs w:val="28"/>
        </w:rPr>
        <w:t>in SNA 2008</w:t>
      </w:r>
    </w:p>
    <w:p w:rsidR="00D81CAE" w:rsidRPr="00902564" w:rsidRDefault="00D81CAE" w:rsidP="00D81CAE">
      <w:pPr>
        <w:autoSpaceDE w:val="0"/>
        <w:autoSpaceDN w:val="0"/>
        <w:adjustRightInd w:val="0"/>
        <w:jc w:val="center"/>
        <w:outlineLvl w:val="0"/>
        <w:rPr>
          <w:b/>
        </w:rPr>
      </w:pPr>
    </w:p>
    <w:p w:rsidR="00D81CAE" w:rsidRPr="00902564" w:rsidRDefault="00C97DE6" w:rsidP="00D81CAE">
      <w:pPr>
        <w:rPr>
          <w:sz w:val="28"/>
          <w:szCs w:val="28"/>
        </w:rPr>
      </w:pPr>
      <w:r>
        <w:rPr>
          <w:sz w:val="28"/>
          <w:szCs w:val="28"/>
        </w:rPr>
        <w:pict>
          <v:rect id="_x0000_s1054" style="position:absolute;margin-left:357.05pt;margin-top:17.5pt;width:86.65pt;height:19.45pt;z-index:251681792">
            <v:textbox>
              <w:txbxContent>
                <w:p w:rsidR="00D81CAE" w:rsidRPr="00201475" w:rsidRDefault="00D81CAE" w:rsidP="00D81CAE">
                  <w:pPr>
                    <w:jc w:val="center"/>
                  </w:pPr>
                  <w:r w:rsidRPr="00201475">
                    <w:t>Остальной мир</w:t>
                  </w:r>
                </w:p>
              </w:txbxContent>
            </v:textbox>
          </v:rect>
        </w:pict>
      </w:r>
      <w:r>
        <w:rPr>
          <w:sz w:val="28"/>
          <w:szCs w:val="28"/>
        </w:rPr>
        <w:pict>
          <v:rect id="_x0000_s1053" style="position:absolute;margin-left:165.25pt;margin-top:14pt;width:106.45pt;height:19.45pt;z-index:251680768">
            <v:textbox>
              <w:txbxContent>
                <w:p w:rsidR="00D81CAE" w:rsidRPr="00201475" w:rsidRDefault="00D81CAE" w:rsidP="00D81CAE">
                  <w:pPr>
                    <w:jc w:val="center"/>
                  </w:pPr>
                  <w:r w:rsidRPr="00201475">
                    <w:t>Единица – резидент?</w:t>
                  </w:r>
                </w:p>
              </w:txbxContent>
            </v:textbox>
          </v:rect>
        </w:pict>
      </w:r>
      <w:r>
        <w:rPr>
          <w:sz w:val="28"/>
          <w:szCs w:val="28"/>
        </w:rPr>
        <w:pict>
          <v:rect id="_x0000_s1048" style="position:absolute;margin-left:294.9pt;margin-top:7.45pt;width:43.35pt;height:18.6pt;z-index:251675648" stroked="f">
            <v:textbox>
              <w:txbxContent>
                <w:p w:rsidR="00D81CAE" w:rsidRDefault="00D81CAE" w:rsidP="00D81CAE">
                  <w:r>
                    <w:t>нет</w:t>
                  </w:r>
                </w:p>
              </w:txbxContent>
            </v:textbox>
          </v:rect>
        </w:pict>
      </w:r>
    </w:p>
    <w:p w:rsidR="00D81CAE" w:rsidRPr="00902564" w:rsidRDefault="00C97DE6" w:rsidP="00D81CAE">
      <w:pPr>
        <w:rPr>
          <w:sz w:val="28"/>
          <w:szCs w:val="28"/>
        </w:rPr>
      </w:pPr>
      <w:r>
        <w:rPr>
          <w:sz w:val="28"/>
          <w:szCs w:val="28"/>
        </w:rPr>
        <w:pict>
          <v:shapetype id="_x0000_t32" coordsize="21600,21600" o:spt="32" o:oned="t" path="m,l21600,21600e" filled="f">
            <v:path arrowok="t" fillok="f" o:connecttype="none"/>
            <o:lock v:ext="edit" shapetype="t"/>
          </v:shapetype>
          <v:shape id="_x0000_s1057" type="#_x0000_t32" style="position:absolute;margin-left:219.85pt;margin-top:17.75pt;width:.3pt;height:28.35pt;z-index:251684864" o:connectortype="straight">
            <v:stroke endarrow="block"/>
          </v:shape>
        </w:pict>
      </w:r>
      <w:r>
        <w:rPr>
          <w:sz w:val="28"/>
          <w:szCs w:val="28"/>
        </w:rPr>
        <w:pict>
          <v:rect id="_x0000_s1037" style="position:absolute;margin-left:217.35pt;margin-top:23.2pt;width:43.35pt;height:18.6pt;z-index:251664384" stroked="f">
            <v:textbox>
              <w:txbxContent>
                <w:p w:rsidR="00D81CAE" w:rsidRDefault="00D81CAE" w:rsidP="00D81CAE">
                  <w:r>
                    <w:t>да</w:t>
                  </w:r>
                </w:p>
              </w:txbxContent>
            </v:textbox>
          </v:rect>
        </w:pict>
      </w:r>
      <w:r>
        <w:rPr>
          <w:sz w:val="28"/>
          <w:szCs w:val="28"/>
        </w:rPr>
        <w:pict>
          <v:shape id="_x0000_s1056" type="#_x0000_t32" style="position:absolute;margin-left:280.9pt;margin-top:1.9pt;width:64.5pt;height:0;z-index:251683840" o:connectortype="straight">
            <v:stroke endarrow="block"/>
          </v:shape>
        </w:pict>
      </w:r>
    </w:p>
    <w:p w:rsidR="00D81CAE" w:rsidRPr="00902564" w:rsidRDefault="00C97DE6" w:rsidP="00D81CAE">
      <w:pPr>
        <w:rPr>
          <w:sz w:val="28"/>
          <w:szCs w:val="28"/>
        </w:rPr>
      </w:pPr>
      <w:r>
        <w:rPr>
          <w:sz w:val="28"/>
          <w:szCs w:val="28"/>
        </w:rPr>
        <w:pict>
          <v:rect id="_x0000_s1061" style="position:absolute;margin-left:153.65pt;margin-top:128.4pt;width:159pt;height:19.45pt;z-index:251688960">
            <v:textbox>
              <w:txbxContent>
                <w:p w:rsidR="00D81CAE" w:rsidRPr="00201475" w:rsidRDefault="00D81CAE" w:rsidP="00D81CAE">
                  <w:pPr>
                    <w:jc w:val="center"/>
                  </w:pPr>
                  <w:r>
                    <w:t>Это нерыночный производитель</w:t>
                  </w:r>
                  <w:r w:rsidRPr="00201475">
                    <w:t>?</w:t>
                  </w:r>
                </w:p>
              </w:txbxContent>
            </v:textbox>
          </v:rect>
        </w:pict>
      </w:r>
      <w:r>
        <w:rPr>
          <w:sz w:val="28"/>
          <w:szCs w:val="28"/>
        </w:rPr>
        <w:pict>
          <v:shape id="_x0000_s1060" type="#_x0000_t32" style="position:absolute;margin-left:219.55pt;margin-top:93.65pt;width:.3pt;height:28.35pt;z-index:251687936" o:connectortype="straight">
            <v:stroke endarrow="block"/>
          </v:shape>
        </w:pict>
      </w:r>
      <w:r>
        <w:rPr>
          <w:sz w:val="28"/>
          <w:szCs w:val="28"/>
        </w:rPr>
        <w:pict>
          <v:shape id="_x0000_s1059" type="#_x0000_t32" style="position:absolute;margin-left:287.4pt;margin-top:54.4pt;width:64.5pt;height:0;z-index:251686912" o:connectortype="straight">
            <v:stroke endarrow="block"/>
          </v:shape>
        </w:pict>
      </w:r>
      <w:r>
        <w:rPr>
          <w:sz w:val="28"/>
          <w:szCs w:val="28"/>
        </w:rPr>
        <w:pict>
          <v:rect id="_x0000_s1058" style="position:absolute;margin-left:165.25pt;margin-top:31.8pt;width:109.85pt;height:56pt;z-index:251685888">
            <v:textbox>
              <w:txbxContent>
                <w:p w:rsidR="00D81CAE" w:rsidRPr="00DC64AE" w:rsidRDefault="00D81CAE" w:rsidP="00D81CAE">
                  <w:pPr>
                    <w:jc w:val="center"/>
                    <w:rPr>
                      <w:lang w:val="ru-RU"/>
                    </w:rPr>
                  </w:pPr>
                  <w:r w:rsidRPr="00DC64AE">
                    <w:rPr>
                      <w:lang w:val="ru-RU"/>
                    </w:rPr>
                    <w:t>Это домашнее хозяйство или институциональное домашнее хозяйство?</w:t>
                  </w:r>
                </w:p>
              </w:txbxContent>
            </v:textbox>
          </v:rect>
        </w:pict>
      </w:r>
    </w:p>
    <w:p w:rsidR="00D81CAE" w:rsidRPr="00902564" w:rsidRDefault="00C97DE6" w:rsidP="00D81CAE">
      <w:pPr>
        <w:tabs>
          <w:tab w:val="left" w:pos="1701"/>
        </w:tabs>
        <w:suppressAutoHyphens/>
        <w:ind w:firstLine="851"/>
        <w:rPr>
          <w:sz w:val="28"/>
          <w:szCs w:val="28"/>
        </w:rPr>
      </w:pPr>
      <w:r>
        <w:rPr>
          <w:sz w:val="28"/>
          <w:szCs w:val="28"/>
        </w:rPr>
        <w:pict>
          <v:rect id="_x0000_s1049" style="position:absolute;left:0;text-align:left;margin-left:302.05pt;margin-top:11.65pt;width:43.35pt;height:18.6pt;z-index:251676672" stroked="f">
            <v:textbox>
              <w:txbxContent>
                <w:p w:rsidR="00D81CAE" w:rsidRDefault="00D81CAE" w:rsidP="00D81CAE">
                  <w:r>
                    <w:t>да</w:t>
                  </w:r>
                </w:p>
              </w:txbxContent>
            </v:textbox>
          </v:rect>
        </w:pict>
      </w:r>
    </w:p>
    <w:p w:rsidR="00D81CAE" w:rsidRPr="00902564" w:rsidRDefault="00C97DE6" w:rsidP="00D81CAE">
      <w:pPr>
        <w:tabs>
          <w:tab w:val="left" w:pos="1701"/>
        </w:tabs>
        <w:suppressAutoHyphens/>
        <w:ind w:firstLine="851"/>
        <w:rPr>
          <w:sz w:val="28"/>
          <w:szCs w:val="28"/>
        </w:rPr>
      </w:pPr>
      <w:r>
        <w:rPr>
          <w:sz w:val="28"/>
          <w:szCs w:val="28"/>
        </w:rPr>
        <w:pict>
          <v:rect id="_x0000_s1055" style="position:absolute;left:0;text-align:left;margin-left:359.4pt;margin-top:4.2pt;width:89.4pt;height:33.3pt;z-index:251682816">
            <v:textbox>
              <w:txbxContent>
                <w:p w:rsidR="00D81CAE" w:rsidRPr="00201475" w:rsidRDefault="00D81CAE" w:rsidP="00D81CAE">
                  <w:pPr>
                    <w:jc w:val="center"/>
                  </w:pPr>
                  <w:r>
                    <w:t>Домашние хозяйства</w:t>
                  </w:r>
                </w:p>
              </w:txbxContent>
            </v:textbox>
          </v:rect>
        </w:pict>
      </w:r>
    </w:p>
    <w:p w:rsidR="00D81CAE" w:rsidRPr="00902564" w:rsidRDefault="00D81CAE" w:rsidP="00D81CAE">
      <w:pPr>
        <w:tabs>
          <w:tab w:val="left" w:pos="1701"/>
        </w:tabs>
        <w:suppressAutoHyphens/>
        <w:rPr>
          <w:sz w:val="28"/>
          <w:szCs w:val="28"/>
        </w:rPr>
      </w:pPr>
    </w:p>
    <w:p w:rsidR="00D81CAE" w:rsidRPr="00902564" w:rsidRDefault="00D81CAE" w:rsidP="00D81CAE">
      <w:pPr>
        <w:tabs>
          <w:tab w:val="left" w:pos="1701"/>
        </w:tabs>
        <w:suppressAutoHyphens/>
        <w:jc w:val="center"/>
        <w:rPr>
          <w:b/>
          <w:sz w:val="28"/>
          <w:szCs w:val="28"/>
        </w:rPr>
      </w:pPr>
    </w:p>
    <w:p w:rsidR="00D81CAE" w:rsidRPr="00902564" w:rsidRDefault="00C97DE6" w:rsidP="00D81CAE">
      <w:pPr>
        <w:tabs>
          <w:tab w:val="left" w:pos="1701"/>
        </w:tabs>
        <w:suppressAutoHyphens/>
        <w:jc w:val="center"/>
        <w:rPr>
          <w:b/>
          <w:sz w:val="28"/>
          <w:szCs w:val="28"/>
        </w:rPr>
      </w:pPr>
      <w:r>
        <w:rPr>
          <w:sz w:val="28"/>
          <w:szCs w:val="28"/>
        </w:rPr>
        <w:pict>
          <v:rect id="_x0000_s1036" style="position:absolute;left:0;text-align:left;margin-left:217.35pt;margin-top:8.4pt;width:43.35pt;height:18.6pt;z-index:251663360" stroked="f">
            <v:textbox>
              <w:txbxContent>
                <w:p w:rsidR="00D81CAE" w:rsidRDefault="00D81CAE" w:rsidP="00D81CAE">
                  <w:r>
                    <w:t>нет</w:t>
                  </w:r>
                </w:p>
              </w:txbxContent>
            </v:textbox>
          </v:rect>
        </w:pict>
      </w:r>
    </w:p>
    <w:p w:rsidR="00D81CAE" w:rsidRPr="00902564" w:rsidRDefault="00D81CAE" w:rsidP="00D81CAE">
      <w:pPr>
        <w:rPr>
          <w:sz w:val="28"/>
          <w:szCs w:val="28"/>
          <w:highlight w:val="cyan"/>
        </w:rPr>
      </w:pPr>
    </w:p>
    <w:p w:rsidR="00D81CAE" w:rsidRPr="00902564" w:rsidRDefault="00D81CAE" w:rsidP="00D81CAE">
      <w:pPr>
        <w:rPr>
          <w:sz w:val="28"/>
          <w:szCs w:val="28"/>
          <w:highlight w:val="cyan"/>
        </w:rPr>
      </w:pP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b/>
          <w:sz w:val="28"/>
          <w:szCs w:val="28"/>
        </w:rPr>
        <w:pict>
          <v:rect id="_x0000_s1035" style="position:absolute;margin-left:141.3pt;margin-top:2.9pt;width:43.35pt;height:18.6pt;z-index:251662336" stroked="f">
            <v:textbox>
              <w:txbxContent>
                <w:p w:rsidR="00D81CAE" w:rsidRDefault="00D81CAE" w:rsidP="00D81CAE">
                  <w:r>
                    <w:t>да</w:t>
                  </w:r>
                </w:p>
              </w:txbxContent>
            </v:textbox>
          </v:rect>
        </w:pict>
      </w:r>
      <w:r>
        <w:rPr>
          <w:b/>
          <w:sz w:val="28"/>
          <w:szCs w:val="28"/>
        </w:rPr>
        <w:pict>
          <v:shape id="_x0000_s1064" type="#_x0000_t32" style="position:absolute;margin-left:111.85pt;margin-top:1.2pt;width:130.15pt;height:31.6pt;flip:x;z-index:251692032" o:connectortype="straight">
            <v:stroke endarrow="block"/>
          </v:shape>
        </w:pict>
      </w:r>
      <w:r>
        <w:rPr>
          <w:sz w:val="28"/>
          <w:szCs w:val="28"/>
        </w:rPr>
        <w:pict>
          <v:shape id="_x0000_s1062" type="#_x0000_t32" style="position:absolute;margin-left:248.9pt;margin-top:1.2pt;width:.3pt;height:31.6pt;z-index:251689984" o:connectortype="straight">
            <v:stroke endarrow="block"/>
          </v:shape>
        </w:pict>
      </w:r>
      <w:r>
        <w:rPr>
          <w:b/>
          <w:sz w:val="28"/>
          <w:szCs w:val="28"/>
        </w:rPr>
        <w:pict>
          <v:rect id="_x0000_s1050" style="position:absolute;margin-left:253.6pt;margin-top:5.5pt;width:43.35pt;height:18.45pt;z-index:251677696" stroked="f">
            <v:textbox>
              <w:txbxContent>
                <w:p w:rsidR="00D81CAE" w:rsidRDefault="00D81CAE" w:rsidP="00D81CAE">
                  <w:r>
                    <w:t>нет</w:t>
                  </w:r>
                </w:p>
              </w:txbxContent>
            </v:textbox>
          </v:rect>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rect id="_x0000_s1065" style="position:absolute;margin-left:13.7pt;margin-top:4.7pt;width:159pt;height:19.45pt;z-index:251693056">
            <v:textbox>
              <w:txbxContent>
                <w:p w:rsidR="00D81CAE" w:rsidRPr="00201475" w:rsidRDefault="00D81CAE" w:rsidP="00D81CAE">
                  <w:pPr>
                    <w:jc w:val="center"/>
                  </w:pPr>
                  <w:r>
                    <w:t>Контролируется государством</w:t>
                  </w:r>
                  <w:r w:rsidRPr="00201475">
                    <w:t>?</w:t>
                  </w:r>
                </w:p>
              </w:txbxContent>
            </v:textbox>
          </v:rect>
        </w:pict>
      </w:r>
      <w:r>
        <w:rPr>
          <w:sz w:val="28"/>
          <w:szCs w:val="28"/>
        </w:rPr>
        <w:pict>
          <v:rect id="_x0000_s1063" style="position:absolute;margin-left:198.05pt;margin-top:4.7pt;width:159pt;height:19.45pt;z-index:251691008">
            <v:textbox>
              <w:txbxContent>
                <w:p w:rsidR="00D81CAE" w:rsidRPr="00201475" w:rsidRDefault="00D81CAE" w:rsidP="00D81CAE">
                  <w:pPr>
                    <w:jc w:val="center"/>
                  </w:pPr>
                  <w:r>
                    <w:t>Производит финансовые услуги</w:t>
                  </w:r>
                  <w:r w:rsidRPr="00201475">
                    <w:t>?</w:t>
                  </w:r>
                </w:p>
              </w:txbxContent>
            </v:textbox>
          </v:rect>
        </w:pict>
      </w:r>
    </w:p>
    <w:p w:rsidR="00D81CAE" w:rsidRPr="00902564" w:rsidRDefault="00C97DE6" w:rsidP="00D81CAE">
      <w:pPr>
        <w:rPr>
          <w:sz w:val="28"/>
          <w:szCs w:val="28"/>
          <w:highlight w:val="cyan"/>
        </w:rPr>
      </w:pPr>
      <w:r>
        <w:rPr>
          <w:sz w:val="28"/>
          <w:szCs w:val="28"/>
        </w:rPr>
        <w:pict>
          <v:rect id="_x0000_s1051" style="position:absolute;margin-left:97.95pt;margin-top:7.9pt;width:43.35pt;height:18.6pt;z-index:251678720" stroked="f">
            <v:textbox>
              <w:txbxContent>
                <w:p w:rsidR="00D81CAE" w:rsidRDefault="00D81CAE" w:rsidP="00D81CAE">
                  <w:r>
                    <w:t>да</w:t>
                  </w:r>
                </w:p>
              </w:txbxContent>
            </v:textbox>
          </v:rect>
        </w:pict>
      </w:r>
      <w:r>
        <w:rPr>
          <w:sz w:val="28"/>
          <w:szCs w:val="28"/>
        </w:rPr>
        <w:pict>
          <v:rect id="_x0000_s1052" style="position:absolute;margin-left:41.55pt;margin-top:8.2pt;width:43.35pt;height:18.45pt;z-index:251679744" stroked="f">
            <v:textbox>
              <w:txbxContent>
                <w:p w:rsidR="00D81CAE" w:rsidRDefault="00D81CAE" w:rsidP="00D81CAE">
                  <w:r>
                    <w:t>нет</w:t>
                  </w:r>
                </w:p>
              </w:txbxContent>
            </v:textbox>
          </v:rect>
        </w:pict>
      </w:r>
      <w:r>
        <w:rPr>
          <w:sz w:val="28"/>
          <w:szCs w:val="28"/>
        </w:rPr>
        <w:pict>
          <v:shape id="_x0000_s1067" type="#_x0000_t32" style="position:absolute;margin-left:51.3pt;margin-top:10.95pt;width:27.95pt;height:22.85pt;flip:x;z-index:251695104" o:connectortype="straight">
            <v:stroke endarrow="block"/>
          </v:shape>
        </w:pict>
      </w:r>
      <w:r>
        <w:rPr>
          <w:sz w:val="28"/>
          <w:szCs w:val="28"/>
        </w:rPr>
        <w:pict>
          <v:shape id="_x0000_s1066" type="#_x0000_t32" style="position:absolute;margin-left:90.4pt;margin-top:10.95pt;width:21.45pt;height:21pt;z-index:251694080" o:connectortype="straight">
            <v:stroke endarrow="block"/>
          </v:shape>
        </w:pict>
      </w:r>
      <w:r>
        <w:rPr>
          <w:sz w:val="28"/>
          <w:szCs w:val="28"/>
        </w:rPr>
        <w:pict>
          <v:shape id="_x0000_s1070" type="#_x0000_t32" style="position:absolute;margin-left:292.35pt;margin-top:12.8pt;width:45.9pt;height:16.6pt;z-index:251698176" o:connectortype="straight">
            <v:stroke endarrow="block"/>
          </v:shape>
        </w:pict>
      </w:r>
      <w:r>
        <w:rPr>
          <w:sz w:val="28"/>
          <w:szCs w:val="28"/>
        </w:rPr>
        <w:pict>
          <v:shape id="_x0000_s1071" type="#_x0000_t32" style="position:absolute;margin-left:234.6pt;margin-top:12.8pt;width:38.9pt;height:16.75pt;flip:x;z-index:251699200" o:connectortype="straight">
            <v:stroke endarrow="block"/>
          </v:shape>
        </w:pict>
      </w:r>
      <w:r>
        <w:rPr>
          <w:sz w:val="28"/>
          <w:szCs w:val="28"/>
        </w:rPr>
        <w:pict>
          <v:rect id="_x0000_s1047" style="position:absolute;margin-left:228.35pt;margin-top:8.05pt;width:43.35pt;height:18.45pt;z-index:251674624" stroked="f">
            <v:textbox>
              <w:txbxContent>
                <w:p w:rsidR="00D81CAE" w:rsidRDefault="00D81CAE" w:rsidP="00D81CAE">
                  <w:r>
                    <w:t>нет</w:t>
                  </w:r>
                </w:p>
              </w:txbxContent>
            </v:textbox>
          </v:rect>
        </w:pict>
      </w:r>
      <w:r>
        <w:rPr>
          <w:sz w:val="28"/>
          <w:szCs w:val="28"/>
        </w:rPr>
        <w:pict>
          <v:rect id="_x0000_s1046" style="position:absolute;margin-left:323.9pt;margin-top:8.05pt;width:43.35pt;height:18.6pt;z-index:251673600" stroked="f">
            <v:textbox>
              <w:txbxContent>
                <w:p w:rsidR="00D81CAE" w:rsidRDefault="00D81CAE" w:rsidP="00D81CAE">
                  <w:r>
                    <w:t>да</w:t>
                  </w:r>
                </w:p>
              </w:txbxContent>
            </v:textbox>
          </v:rect>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rect id="_x0000_s1068" style="position:absolute;margin-left:-4.25pt;margin-top:5.55pt;width:60.95pt;height:18.75pt;z-index:251696128">
            <v:textbox>
              <w:txbxContent>
                <w:p w:rsidR="00D81CAE" w:rsidRPr="00201475" w:rsidRDefault="00D81CAE" w:rsidP="00D81CAE">
                  <w:pPr>
                    <w:jc w:val="center"/>
                  </w:pPr>
                  <w:r>
                    <w:t>НКООДХ</w:t>
                  </w:r>
                </w:p>
              </w:txbxContent>
            </v:textbox>
          </v:rect>
        </w:pict>
      </w:r>
      <w:r>
        <w:rPr>
          <w:sz w:val="28"/>
          <w:szCs w:val="28"/>
        </w:rPr>
        <w:pict>
          <v:rect id="_x0000_s1069" style="position:absolute;margin-left:79.25pt;margin-top:3.5pt;width:94.15pt;height:32.75pt;z-index:251697152">
            <v:textbox>
              <w:txbxContent>
                <w:p w:rsidR="00D81CAE" w:rsidRPr="00201475" w:rsidRDefault="00D81CAE" w:rsidP="00D81CAE">
                  <w:pPr>
                    <w:jc w:val="center"/>
                  </w:pPr>
                  <w:r>
                    <w:t>Государственное управление</w:t>
                  </w:r>
                </w:p>
              </w:txbxContent>
            </v:textbox>
          </v:rect>
        </w:pict>
      </w:r>
      <w:r>
        <w:rPr>
          <w:sz w:val="28"/>
          <w:szCs w:val="28"/>
        </w:rPr>
        <w:pict>
          <v:rect id="_x0000_s1072" style="position:absolute;margin-left:200.05pt;margin-top:1.8pt;width:94.15pt;height:32.75pt;z-index:251700224">
            <v:textbox>
              <w:txbxContent>
                <w:p w:rsidR="00D81CAE" w:rsidRPr="00201475" w:rsidRDefault="00D81CAE" w:rsidP="00D81CAE">
                  <w:pPr>
                    <w:jc w:val="center"/>
                  </w:pPr>
                  <w:r>
                    <w:t>Нефинансовые корпорации</w:t>
                  </w:r>
                </w:p>
              </w:txbxContent>
            </v:textbox>
          </v:rect>
        </w:pict>
      </w:r>
      <w:r>
        <w:rPr>
          <w:sz w:val="28"/>
          <w:szCs w:val="28"/>
        </w:rPr>
        <w:pict>
          <v:rect id="_x0000_s1073" style="position:absolute;margin-left:330.55pt;margin-top:1.8pt;width:94.15pt;height:32.75pt;z-index:251701248">
            <v:textbox>
              <w:txbxContent>
                <w:p w:rsidR="00D81CAE" w:rsidRPr="00201475" w:rsidRDefault="00D81CAE" w:rsidP="00D81CAE">
                  <w:pPr>
                    <w:jc w:val="center"/>
                  </w:pPr>
                  <w:r>
                    <w:t>Финансовые корпорации</w:t>
                  </w:r>
                </w:p>
              </w:txbxContent>
            </v:textbox>
          </v:rect>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shape id="_x0000_s1074" type="#_x0000_t32" style="position:absolute;margin-left:242pt;margin-top:5.65pt;width:.3pt;height:28.35pt;z-index:251702272" o:connectortype="straight">
            <v:stroke endarrow="block"/>
          </v:shape>
        </w:pict>
      </w:r>
      <w:r>
        <w:rPr>
          <w:sz w:val="28"/>
          <w:szCs w:val="28"/>
        </w:rPr>
        <w:pict>
          <v:shape id="_x0000_s1075" type="#_x0000_t32" style="position:absolute;margin-left:374.7pt;margin-top:5.65pt;width:.3pt;height:28.35pt;z-index:251703296" o:connectortype="straight">
            <v:stroke endarrow="block"/>
          </v:shape>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rect id="_x0000_s1077" style="position:absolute;margin-left:305.5pt;margin-top:7.05pt;width:153.5pt;height:19.45pt;z-index:251705344">
            <v:textbox>
              <w:txbxContent>
                <w:p w:rsidR="00D81CAE" w:rsidRPr="00201475" w:rsidRDefault="00D81CAE" w:rsidP="00D81CAE">
                  <w:r>
                    <w:t>Контролируется государством</w:t>
                  </w:r>
                  <w:r w:rsidRPr="00201475">
                    <w:t>?</w:t>
                  </w:r>
                </w:p>
              </w:txbxContent>
            </v:textbox>
          </v:rect>
        </w:pict>
      </w:r>
      <w:r>
        <w:rPr>
          <w:sz w:val="28"/>
          <w:szCs w:val="28"/>
        </w:rPr>
        <w:pict>
          <v:rect id="_x0000_s1076" style="position:absolute;margin-left:131.4pt;margin-top:7.05pt;width:156pt;height:19.45pt;z-index:251704320">
            <v:textbox>
              <w:txbxContent>
                <w:p w:rsidR="00D81CAE" w:rsidRPr="00201475" w:rsidRDefault="00D81CAE" w:rsidP="00D81CAE">
                  <w:r>
                    <w:t>Контролируется государством</w:t>
                  </w:r>
                  <w:r w:rsidRPr="00201475">
                    <w:t>?</w:t>
                  </w:r>
                </w:p>
              </w:txbxContent>
            </v:textbox>
          </v:rect>
        </w:pict>
      </w:r>
    </w:p>
    <w:p w:rsidR="00D81CAE" w:rsidRPr="00902564" w:rsidRDefault="00C97DE6" w:rsidP="00D81CAE">
      <w:pPr>
        <w:rPr>
          <w:sz w:val="28"/>
          <w:szCs w:val="28"/>
          <w:highlight w:val="cyan"/>
        </w:rPr>
      </w:pPr>
      <w:r>
        <w:rPr>
          <w:sz w:val="28"/>
          <w:szCs w:val="28"/>
        </w:rPr>
        <w:pict>
          <v:rect id="_x0000_s1040" style="position:absolute;margin-left:385.05pt;margin-top:14.55pt;width:43.35pt;height:18.6pt;z-index:251667456" stroked="f">
            <v:textbox style="mso-next-textbox:#_x0000_s1040">
              <w:txbxContent>
                <w:p w:rsidR="00D81CAE" w:rsidRDefault="00D81CAE" w:rsidP="00D81CAE">
                  <w:r>
                    <w:t>да</w:t>
                  </w:r>
                </w:p>
              </w:txbxContent>
            </v:textbox>
          </v:rect>
        </w:pict>
      </w:r>
      <w:r>
        <w:rPr>
          <w:sz w:val="28"/>
          <w:szCs w:val="28"/>
        </w:rPr>
        <w:pict>
          <v:shape id="_x0000_s1086" type="#_x0000_t32" style="position:absolute;margin-left:351.9pt;margin-top:14.8pt;width:.3pt;height:28.35pt;z-index:251714560" o:connectortype="straight">
            <v:stroke endarrow="block"/>
          </v:shape>
        </w:pict>
      </w:r>
      <w:r>
        <w:rPr>
          <w:sz w:val="28"/>
          <w:szCs w:val="28"/>
        </w:rPr>
        <w:pict>
          <v:rect id="_x0000_s1045" style="position:absolute;margin-left:141.3pt;margin-top:14.55pt;width:43.35pt;height:18.6pt;z-index:251672576" stroked="f">
            <v:textbox style="mso-next-textbox:#_x0000_s1045">
              <w:txbxContent>
                <w:p w:rsidR="00D81CAE" w:rsidRDefault="00D81CAE" w:rsidP="00D81CAE">
                  <w:r>
                    <w:t>да</w:t>
                  </w:r>
                </w:p>
              </w:txbxContent>
            </v:textbox>
          </v:rect>
        </w:pict>
      </w:r>
    </w:p>
    <w:p w:rsidR="00D81CAE" w:rsidRPr="00902564" w:rsidRDefault="00C97DE6" w:rsidP="00D81CAE">
      <w:pPr>
        <w:rPr>
          <w:sz w:val="28"/>
          <w:szCs w:val="28"/>
          <w:highlight w:val="cyan"/>
        </w:rPr>
      </w:pPr>
      <w:r>
        <w:rPr>
          <w:sz w:val="28"/>
          <w:szCs w:val="28"/>
        </w:rPr>
        <w:pict>
          <v:shape id="_x0000_s1087" type="#_x0000_t32" style="position:absolute;margin-left:369.65pt;margin-top:.15pt;width:39.2pt;height:26.9pt;z-index:251715584" o:connectortype="straight">
            <v:stroke endarrow="block"/>
          </v:shape>
        </w:pict>
      </w:r>
      <w:r>
        <w:rPr>
          <w:sz w:val="28"/>
          <w:szCs w:val="28"/>
        </w:rPr>
        <w:pict>
          <v:rect id="_x0000_s1041" style="position:absolute;margin-left:323.2pt;margin-top:1.8pt;width:43.35pt;height:18.45pt;z-index:251668480" stroked="f">
            <v:textbox style="mso-next-textbox:#_x0000_s1041">
              <w:txbxContent>
                <w:p w:rsidR="00D81CAE" w:rsidRDefault="00D81CAE" w:rsidP="00D81CAE">
                  <w:r>
                    <w:t>нет</w:t>
                  </w:r>
                </w:p>
              </w:txbxContent>
            </v:textbox>
          </v:rect>
        </w:pict>
      </w:r>
      <w:r>
        <w:rPr>
          <w:sz w:val="28"/>
          <w:szCs w:val="28"/>
        </w:rPr>
        <w:pict>
          <v:rect id="_x0000_s1044" style="position:absolute;margin-left:212.95pt;margin-top:5.15pt;width:43.35pt;height:18.45pt;z-index:251671552" stroked="f">
            <v:textbox style="mso-next-textbox:#_x0000_s1044">
              <w:txbxContent>
                <w:p w:rsidR="00D81CAE" w:rsidRDefault="00D81CAE" w:rsidP="00D81CAE">
                  <w:r>
                    <w:t>нет</w:t>
                  </w:r>
                </w:p>
              </w:txbxContent>
            </v:textbox>
          </v:rect>
        </w:pict>
      </w:r>
      <w:r>
        <w:rPr>
          <w:sz w:val="28"/>
          <w:szCs w:val="28"/>
        </w:rPr>
        <w:pict>
          <v:shape id="_x0000_s1079" type="#_x0000_t32" style="position:absolute;margin-left:215.1pt;margin-top:1.8pt;width:.3pt;height:28.35pt;z-index:251707392" o:connectortype="straight">
            <v:stroke endarrow="block"/>
          </v:shape>
        </w:pict>
      </w:r>
      <w:r>
        <w:rPr>
          <w:sz w:val="28"/>
          <w:szCs w:val="28"/>
        </w:rPr>
        <w:pict>
          <v:shape id="_x0000_s1078" type="#_x0000_t32" style="position:absolute;margin-left:111.85pt;margin-top:1.8pt;width:97.55pt;height:25.25pt;flip:x;z-index:251706368" o:connectortype="straight">
            <v:stroke endarrow="block"/>
          </v:shape>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rect id="_x0000_s1089" style="position:absolute;margin-left:372.7pt;margin-top:1.3pt;width:106.15pt;height:50.55pt;z-index:251717632">
            <v:textbox>
              <w:txbxContent>
                <w:p w:rsidR="00D81CAE" w:rsidRPr="00201475" w:rsidRDefault="00D81CAE" w:rsidP="00D81CAE">
                  <w:r>
                    <w:t>Государственные финансовые корпорации</w:t>
                  </w:r>
                </w:p>
              </w:txbxContent>
            </v:textbox>
          </v:rect>
        </w:pict>
      </w:r>
      <w:r>
        <w:rPr>
          <w:sz w:val="28"/>
          <w:szCs w:val="28"/>
        </w:rPr>
        <w:pict>
          <v:rect id="_x0000_s1081" style="position:absolute;margin-left:165.25pt;margin-top:1.3pt;width:94.15pt;height:46.45pt;z-index:251709440">
            <v:textbox>
              <w:txbxContent>
                <w:p w:rsidR="00D81CAE" w:rsidRPr="00201475" w:rsidRDefault="00D81CAE" w:rsidP="00D81CAE">
                  <w:r>
                    <w:t>Есть иностранный контроль?</w:t>
                  </w:r>
                </w:p>
              </w:txbxContent>
            </v:textbox>
          </v:rect>
        </w:pict>
      </w:r>
      <w:r>
        <w:rPr>
          <w:sz w:val="28"/>
          <w:szCs w:val="28"/>
        </w:rPr>
        <w:pict>
          <v:rect id="_x0000_s1088" style="position:absolute;margin-left:272.4pt;margin-top:1.3pt;width:94.15pt;height:50.55pt;z-index:251716608">
            <v:textbox>
              <w:txbxContent>
                <w:p w:rsidR="00D81CAE" w:rsidRPr="00201475" w:rsidRDefault="00D81CAE" w:rsidP="00D81CAE">
                  <w:r>
                    <w:t>Есть иностранный контроль?</w:t>
                  </w:r>
                </w:p>
              </w:txbxContent>
            </v:textbox>
          </v:rect>
        </w:pict>
      </w:r>
      <w:r>
        <w:rPr>
          <w:sz w:val="28"/>
          <w:szCs w:val="28"/>
        </w:rPr>
        <w:pict>
          <v:rect id="_x0000_s1080" style="position:absolute;margin-left:47.15pt;margin-top:1.3pt;width:94.15pt;height:62.65pt;z-index:251708416">
            <v:textbox>
              <w:txbxContent>
                <w:p w:rsidR="00D81CAE" w:rsidRPr="00201475" w:rsidRDefault="00D81CAE" w:rsidP="00D81CAE">
                  <w:r>
                    <w:t>Государственные нефинансовые корпорации</w:t>
                  </w:r>
                </w:p>
              </w:txbxContent>
            </v:textbox>
          </v:rect>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rect id="_x0000_s1038" style="position:absolute;margin-left:359.4pt;margin-top:13.15pt;width:43.35pt;height:24.95pt;z-index:251665408" stroked="f">
            <v:textbox style="mso-next-textbox:#_x0000_s1038">
              <w:txbxContent>
                <w:p w:rsidR="00D81CAE" w:rsidRDefault="00D81CAE" w:rsidP="00D81CAE">
                  <w:r>
                    <w:t>да</w:t>
                  </w:r>
                </w:p>
              </w:txbxContent>
            </v:textbox>
          </v:rect>
        </w:pict>
      </w:r>
      <w:r>
        <w:rPr>
          <w:sz w:val="28"/>
          <w:szCs w:val="28"/>
        </w:rPr>
        <w:pict>
          <v:shape id="_x0000_s1092" type="#_x0000_t32" style="position:absolute;margin-left:326.35pt;margin-top:15.55pt;width:91.45pt;height:29.3pt;z-index:251720704" o:connectortype="straight">
            <v:stroke endarrow="block"/>
          </v:shape>
        </w:pict>
      </w:r>
      <w:r>
        <w:rPr>
          <w:sz w:val="28"/>
          <w:szCs w:val="28"/>
        </w:rPr>
        <w:pict>
          <v:shape id="_x0000_s1090" type="#_x0000_t32" style="position:absolute;margin-left:316.1pt;margin-top:15.55pt;width:.3pt;height:32.7pt;z-index:251718656" o:connectortype="straight">
            <v:stroke endarrow="block"/>
          </v:shape>
        </w:pict>
      </w:r>
      <w:r>
        <w:rPr>
          <w:sz w:val="28"/>
          <w:szCs w:val="28"/>
        </w:rPr>
        <w:pict>
          <v:shape id="_x0000_s1082" type="#_x0000_t32" style="position:absolute;margin-left:119.75pt;margin-top:15.55pt;width:82.45pt;height:31pt;flip:x;z-index:251710464" o:connectortype="straight">
            <v:stroke endarrow="block"/>
          </v:shape>
        </w:pict>
      </w:r>
      <w:r>
        <w:rPr>
          <w:sz w:val="28"/>
          <w:szCs w:val="28"/>
        </w:rPr>
        <w:pict>
          <v:shape id="_x0000_s1083" type="#_x0000_t32" style="position:absolute;margin-left:212.65pt;margin-top:15.55pt;width:.3pt;height:32.7pt;z-index:251711488" o:connectortype="straight">
            <v:stroke endarrow="block"/>
          </v:shape>
        </w:pict>
      </w:r>
      <w:r>
        <w:rPr>
          <w:sz w:val="28"/>
          <w:szCs w:val="28"/>
        </w:rPr>
        <w:pict>
          <v:rect id="_x0000_s1043" style="position:absolute;margin-left:137.6pt;margin-top:15.55pt;width:43.35pt;height:18.6pt;z-index:251670528" stroked="f">
            <v:textbox>
              <w:txbxContent>
                <w:p w:rsidR="00D81CAE" w:rsidRDefault="00D81CAE" w:rsidP="00D81CAE">
                  <w:r>
                    <w:t>да</w:t>
                  </w:r>
                </w:p>
              </w:txbxContent>
            </v:textbox>
          </v:rect>
        </w:pict>
      </w:r>
    </w:p>
    <w:p w:rsidR="00D81CAE" w:rsidRPr="00902564" w:rsidRDefault="00C97DE6" w:rsidP="00D81CAE">
      <w:pPr>
        <w:rPr>
          <w:sz w:val="28"/>
          <w:szCs w:val="28"/>
          <w:highlight w:val="cyan"/>
        </w:rPr>
      </w:pPr>
      <w:r>
        <w:rPr>
          <w:sz w:val="28"/>
          <w:szCs w:val="28"/>
        </w:rPr>
        <w:pict>
          <v:rect id="_x0000_s1039" style="position:absolute;margin-left:289.15pt;margin-top:3.55pt;width:43.35pt;height:18.45pt;z-index:251666432" stroked="f">
            <v:textbox>
              <w:txbxContent>
                <w:p w:rsidR="00D81CAE" w:rsidRDefault="00D81CAE" w:rsidP="00D81CAE">
                  <w:r>
                    <w:t>нет</w:t>
                  </w:r>
                </w:p>
              </w:txbxContent>
            </v:textbox>
          </v:rect>
        </w:pict>
      </w:r>
      <w:r>
        <w:rPr>
          <w:sz w:val="28"/>
          <w:szCs w:val="28"/>
        </w:rPr>
        <w:pict>
          <v:rect id="_x0000_s1042" style="position:absolute;margin-left:209.4pt;margin-top:2pt;width:43.35pt;height:18.45pt;z-index:251669504" stroked="f">
            <v:textbox>
              <w:txbxContent>
                <w:p w:rsidR="00D81CAE" w:rsidRDefault="00D81CAE" w:rsidP="00D81CAE">
                  <w:r>
                    <w:t>нет</w:t>
                  </w:r>
                </w:p>
              </w:txbxContent>
            </v:textbox>
          </v:rect>
        </w:pict>
      </w:r>
    </w:p>
    <w:p w:rsidR="00D81CAE" w:rsidRPr="00902564" w:rsidRDefault="00D81CAE" w:rsidP="00D81CAE">
      <w:pPr>
        <w:rPr>
          <w:sz w:val="28"/>
          <w:szCs w:val="28"/>
          <w:highlight w:val="cyan"/>
        </w:rPr>
      </w:pPr>
    </w:p>
    <w:p w:rsidR="00D81CAE" w:rsidRPr="00902564" w:rsidRDefault="00C97DE6" w:rsidP="00D81CAE">
      <w:pPr>
        <w:rPr>
          <w:sz w:val="28"/>
          <w:szCs w:val="28"/>
          <w:highlight w:val="cyan"/>
        </w:rPr>
      </w:pPr>
      <w:r>
        <w:rPr>
          <w:sz w:val="28"/>
          <w:szCs w:val="28"/>
        </w:rPr>
        <w:pict>
          <v:rect id="_x0000_s1093" style="position:absolute;margin-left:379.85pt;margin-top:6.45pt;width:94.15pt;height:63.75pt;z-index:251721728">
            <v:textbox>
              <w:txbxContent>
                <w:p w:rsidR="00D81CAE" w:rsidRPr="00201475" w:rsidRDefault="00D81CAE" w:rsidP="00D81CAE">
                  <w:r>
                    <w:t>Финансовые корпорации под иностранным контролем</w:t>
                  </w:r>
                </w:p>
              </w:txbxContent>
            </v:textbox>
          </v:rect>
        </w:pict>
      </w:r>
      <w:r>
        <w:rPr>
          <w:sz w:val="28"/>
          <w:szCs w:val="28"/>
        </w:rPr>
        <w:pict>
          <v:rect id="_x0000_s1091" style="position:absolute;margin-left:273.5pt;margin-top:6.45pt;width:94.15pt;height:63.75pt;z-index:251719680">
            <v:textbox>
              <w:txbxContent>
                <w:p w:rsidR="00D81CAE" w:rsidRPr="00201475" w:rsidRDefault="00D81CAE" w:rsidP="00D81CAE">
                  <w:r>
                    <w:t>Национальные частные финансовые корпорации</w:t>
                  </w:r>
                </w:p>
              </w:txbxContent>
            </v:textbox>
          </v:rect>
        </w:pict>
      </w:r>
      <w:r>
        <w:rPr>
          <w:sz w:val="28"/>
          <w:szCs w:val="28"/>
        </w:rPr>
        <w:pict>
          <v:rect id="_x0000_s1084" style="position:absolute;margin-left:166.55pt;margin-top:8.15pt;width:94.15pt;height:62.05pt;z-index:251712512">
            <v:textbox>
              <w:txbxContent>
                <w:p w:rsidR="00D81CAE" w:rsidRPr="00201475" w:rsidRDefault="00D81CAE" w:rsidP="00D81CAE">
                  <w:r>
                    <w:t>Национальные частные нефинансовые корпорации</w:t>
                  </w:r>
                </w:p>
              </w:txbxContent>
            </v:textbox>
          </v:rect>
        </w:pict>
      </w:r>
      <w:r>
        <w:rPr>
          <w:sz w:val="28"/>
          <w:szCs w:val="28"/>
        </w:rPr>
        <w:pict>
          <v:rect id="_x0000_s1085" style="position:absolute;margin-left:56.7pt;margin-top:6.45pt;width:94.15pt;height:63.75pt;z-index:251713536">
            <v:textbox>
              <w:txbxContent>
                <w:p w:rsidR="00D81CAE" w:rsidRPr="00201475" w:rsidRDefault="00D81CAE" w:rsidP="00D81CAE">
                  <w:r>
                    <w:t>Нефинансовые корпорации под иностранным контролем</w:t>
                  </w:r>
                </w:p>
              </w:txbxContent>
            </v:textbox>
          </v:rect>
        </w:pict>
      </w:r>
    </w:p>
    <w:p w:rsidR="00D81CAE" w:rsidRPr="00902564" w:rsidRDefault="00D81CAE" w:rsidP="00D81CAE">
      <w:pPr>
        <w:rPr>
          <w:sz w:val="28"/>
          <w:szCs w:val="28"/>
          <w:highlight w:val="cyan"/>
        </w:rPr>
      </w:pPr>
    </w:p>
    <w:p w:rsidR="00D81CAE" w:rsidRPr="00902564" w:rsidRDefault="00D81CAE" w:rsidP="00D81CAE">
      <w:pPr>
        <w:rPr>
          <w:sz w:val="28"/>
          <w:szCs w:val="28"/>
          <w:highlight w:val="cyan"/>
        </w:rPr>
      </w:pPr>
    </w:p>
    <w:p w:rsidR="00D81CAE" w:rsidRPr="00902564" w:rsidRDefault="00D81CAE" w:rsidP="00D81CAE">
      <w:pPr>
        <w:rPr>
          <w:sz w:val="28"/>
          <w:szCs w:val="28"/>
          <w:highlight w:val="cyan"/>
        </w:rPr>
      </w:pPr>
    </w:p>
    <w:p w:rsidR="00D81CAE" w:rsidRDefault="00D81CAE" w:rsidP="00D81CAE">
      <w:pPr>
        <w:autoSpaceDE w:val="0"/>
        <w:autoSpaceDN w:val="0"/>
        <w:adjustRightInd w:val="0"/>
        <w:rPr>
          <w:sz w:val="28"/>
          <w:szCs w:val="28"/>
        </w:rPr>
      </w:pPr>
    </w:p>
    <w:p w:rsidR="00D81CAE" w:rsidRDefault="00D81CAE" w:rsidP="00D81CAE">
      <w:pPr>
        <w:tabs>
          <w:tab w:val="left" w:pos="142"/>
          <w:tab w:val="left" w:pos="1843"/>
        </w:tabs>
        <w:autoSpaceDE w:val="0"/>
        <w:autoSpaceDN w:val="0"/>
        <w:adjustRightInd w:val="0"/>
        <w:rPr>
          <w:sz w:val="28"/>
          <w:szCs w:val="28"/>
        </w:rPr>
      </w:pPr>
      <w:r w:rsidRPr="00902564">
        <w:rPr>
          <w:sz w:val="28"/>
          <w:szCs w:val="28"/>
        </w:rPr>
        <w:tab/>
      </w:r>
    </w:p>
    <w:p w:rsidR="00D81CAE" w:rsidRDefault="00D81CAE" w:rsidP="00D81CAE">
      <w:pPr>
        <w:ind w:left="6521"/>
        <w:rPr>
          <w:sz w:val="28"/>
          <w:szCs w:val="28"/>
        </w:rPr>
      </w:pPr>
    </w:p>
    <w:p w:rsidR="00D81CAE" w:rsidRPr="00902564" w:rsidRDefault="00DC64AE" w:rsidP="00D81CAE">
      <w:pPr>
        <w:ind w:left="6521"/>
        <w:rPr>
          <w:sz w:val="28"/>
          <w:szCs w:val="28"/>
        </w:rPr>
      </w:pPr>
      <w:r>
        <w:rPr>
          <w:sz w:val="28"/>
          <w:szCs w:val="28"/>
        </w:rPr>
        <w:t>A</w:t>
      </w:r>
      <w:bookmarkStart w:id="0" w:name="_GoBack"/>
      <w:bookmarkEnd w:id="0"/>
      <w:r w:rsidR="003F67CF">
        <w:rPr>
          <w:sz w:val="28"/>
          <w:szCs w:val="28"/>
        </w:rPr>
        <w:t>ppendix 2</w:t>
      </w:r>
    </w:p>
    <w:p w:rsidR="00D81CAE" w:rsidRDefault="003F67CF" w:rsidP="00D81CAE">
      <w:pPr>
        <w:autoSpaceDE w:val="0"/>
        <w:autoSpaceDN w:val="0"/>
        <w:adjustRightInd w:val="0"/>
        <w:rPr>
          <w:sz w:val="28"/>
          <w:szCs w:val="28"/>
        </w:rPr>
      </w:pPr>
      <w:r w:rsidRPr="003F67CF">
        <w:rPr>
          <w:sz w:val="28"/>
          <w:szCs w:val="28"/>
        </w:rPr>
        <w:lastRenderedPageBreak/>
        <w:t>to the Methodology for Accounting for Pension Fund Services</w:t>
      </w:r>
    </w:p>
    <w:p w:rsidR="00D81CAE" w:rsidRDefault="00D81CAE" w:rsidP="00D81CAE">
      <w:pPr>
        <w:autoSpaceDE w:val="0"/>
        <w:autoSpaceDN w:val="0"/>
        <w:adjustRightInd w:val="0"/>
        <w:rPr>
          <w:sz w:val="28"/>
          <w:szCs w:val="28"/>
        </w:rPr>
      </w:pPr>
    </w:p>
    <w:p w:rsidR="00D81CAE" w:rsidRPr="00902564" w:rsidRDefault="00D81CAE" w:rsidP="00D81CAE">
      <w:pPr>
        <w:autoSpaceDE w:val="0"/>
        <w:autoSpaceDN w:val="0"/>
        <w:adjustRightInd w:val="0"/>
        <w:jc w:val="center"/>
        <w:rPr>
          <w:b/>
          <w:sz w:val="28"/>
          <w:szCs w:val="28"/>
        </w:rPr>
      </w:pPr>
    </w:p>
    <w:p w:rsidR="00D81CAE" w:rsidRPr="008068CB" w:rsidRDefault="00D81CAE" w:rsidP="00D81CAE">
      <w:pPr>
        <w:tabs>
          <w:tab w:val="left" w:pos="142"/>
          <w:tab w:val="left" w:pos="1134"/>
        </w:tabs>
        <w:autoSpaceDE w:val="0"/>
        <w:autoSpaceDN w:val="0"/>
        <w:adjustRightInd w:val="0"/>
        <w:ind w:left="709"/>
        <w:jc w:val="center"/>
        <w:rPr>
          <w:b/>
          <w:sz w:val="28"/>
          <w:szCs w:val="28"/>
          <w:lang w:val="kk-KZ"/>
        </w:rPr>
      </w:pPr>
      <w:r w:rsidRPr="00AC1696">
        <w:rPr>
          <w:b/>
          <w:sz w:val="28"/>
          <w:szCs w:val="28"/>
        </w:rPr>
        <w:t xml:space="preserve">The public sector and its relationship with the institutional sectors </w:t>
      </w:r>
      <w:r>
        <w:rPr>
          <w:b/>
          <w:sz w:val="28"/>
          <w:szCs w:val="28"/>
          <w:lang w:val="kk-KZ"/>
        </w:rPr>
        <w:t>of the economy</w:t>
      </w:r>
    </w:p>
    <w:p w:rsidR="00D81CAE" w:rsidRPr="00902564" w:rsidRDefault="00D81CAE" w:rsidP="00D81CAE">
      <w:pPr>
        <w:tabs>
          <w:tab w:val="left" w:pos="142"/>
          <w:tab w:val="left" w:pos="1134"/>
        </w:tabs>
        <w:autoSpaceDE w:val="0"/>
        <w:autoSpaceDN w:val="0"/>
        <w:adjustRightInd w:val="0"/>
        <w:ind w:left="70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006"/>
        <w:gridCol w:w="2157"/>
        <w:gridCol w:w="1365"/>
        <w:gridCol w:w="1984"/>
      </w:tblGrid>
      <w:tr w:rsidR="00D81CAE" w:rsidRPr="00902564" w:rsidTr="0050299C">
        <w:tc>
          <w:tcPr>
            <w:tcW w:w="2127" w:type="dxa"/>
          </w:tcPr>
          <w:p w:rsidR="00D81CAE" w:rsidRPr="00902564" w:rsidRDefault="00D81CAE" w:rsidP="0050299C">
            <w:pPr>
              <w:tabs>
                <w:tab w:val="left" w:pos="142"/>
                <w:tab w:val="left" w:pos="1134"/>
              </w:tabs>
              <w:autoSpaceDE w:val="0"/>
              <w:autoSpaceDN w:val="0"/>
              <w:adjustRightInd w:val="0"/>
              <w:jc w:val="center"/>
            </w:pPr>
            <w:r w:rsidRPr="00902564">
              <w:t>Sector of non-financial corporations</w:t>
            </w:r>
          </w:p>
        </w:tc>
        <w:tc>
          <w:tcPr>
            <w:tcW w:w="2006" w:type="dxa"/>
          </w:tcPr>
          <w:p w:rsidR="00D81CAE" w:rsidRPr="00902564" w:rsidRDefault="00D81CAE" w:rsidP="0050299C">
            <w:pPr>
              <w:tabs>
                <w:tab w:val="left" w:pos="142"/>
                <w:tab w:val="left" w:pos="1134"/>
              </w:tabs>
              <w:autoSpaceDE w:val="0"/>
              <w:autoSpaceDN w:val="0"/>
              <w:adjustRightInd w:val="0"/>
              <w:jc w:val="center"/>
            </w:pPr>
            <w:r w:rsidRPr="00902564">
              <w:t>Sector of financial corporations</w:t>
            </w:r>
          </w:p>
        </w:tc>
        <w:tc>
          <w:tcPr>
            <w:tcW w:w="2157" w:type="dxa"/>
          </w:tcPr>
          <w:p w:rsidR="00D81CAE" w:rsidRPr="00902564" w:rsidRDefault="00D81CAE" w:rsidP="0050299C">
            <w:pPr>
              <w:tabs>
                <w:tab w:val="left" w:pos="142"/>
                <w:tab w:val="left" w:pos="1134"/>
              </w:tabs>
              <w:autoSpaceDE w:val="0"/>
              <w:autoSpaceDN w:val="0"/>
              <w:adjustRightInd w:val="0"/>
              <w:jc w:val="center"/>
            </w:pPr>
            <w:r w:rsidRPr="00902564">
              <w:t>General government sector</w:t>
            </w:r>
          </w:p>
        </w:tc>
        <w:tc>
          <w:tcPr>
            <w:tcW w:w="1365" w:type="dxa"/>
          </w:tcPr>
          <w:p w:rsidR="00D81CAE" w:rsidRPr="00902564" w:rsidRDefault="00D81CAE" w:rsidP="0050299C">
            <w:pPr>
              <w:tabs>
                <w:tab w:val="left" w:pos="142"/>
                <w:tab w:val="left" w:pos="1134"/>
              </w:tabs>
              <w:autoSpaceDE w:val="0"/>
              <w:autoSpaceDN w:val="0"/>
              <w:adjustRightInd w:val="0"/>
              <w:jc w:val="center"/>
            </w:pPr>
            <w:r w:rsidRPr="00902564">
              <w:t>NPOSH sector</w:t>
            </w:r>
          </w:p>
        </w:tc>
        <w:tc>
          <w:tcPr>
            <w:tcW w:w="1984" w:type="dxa"/>
          </w:tcPr>
          <w:p w:rsidR="00D81CAE" w:rsidRPr="00902564" w:rsidRDefault="00D81CAE" w:rsidP="0050299C">
            <w:pPr>
              <w:tabs>
                <w:tab w:val="left" w:pos="142"/>
                <w:tab w:val="left" w:pos="1134"/>
              </w:tabs>
              <w:autoSpaceDE w:val="0"/>
              <w:autoSpaceDN w:val="0"/>
              <w:adjustRightInd w:val="0"/>
              <w:jc w:val="center"/>
            </w:pPr>
            <w:r w:rsidRPr="00902564">
              <w:t>Household sector</w:t>
            </w:r>
          </w:p>
        </w:tc>
      </w:tr>
      <w:tr w:rsidR="00D81CAE" w:rsidRPr="00902564" w:rsidTr="0050299C">
        <w:tc>
          <w:tcPr>
            <w:tcW w:w="2127" w:type="dxa"/>
            <w:shd w:val="clear" w:color="auto" w:fill="D9D9D9"/>
          </w:tcPr>
          <w:p w:rsidR="00D81CAE" w:rsidRPr="00902564" w:rsidRDefault="00D81CAE" w:rsidP="0050299C">
            <w:pPr>
              <w:tabs>
                <w:tab w:val="left" w:pos="142"/>
                <w:tab w:val="left" w:pos="1134"/>
              </w:tabs>
              <w:autoSpaceDE w:val="0"/>
              <w:autoSpaceDN w:val="0"/>
              <w:adjustRightInd w:val="0"/>
            </w:pPr>
            <w:r w:rsidRPr="00902564">
              <w:t>State units</w:t>
            </w:r>
          </w:p>
        </w:tc>
        <w:tc>
          <w:tcPr>
            <w:tcW w:w="2006" w:type="dxa"/>
            <w:shd w:val="clear" w:color="auto" w:fill="D9D9D9"/>
          </w:tcPr>
          <w:p w:rsidR="00D81CAE" w:rsidRPr="00902564" w:rsidRDefault="00D81CAE" w:rsidP="0050299C">
            <w:pPr>
              <w:tabs>
                <w:tab w:val="left" w:pos="142"/>
                <w:tab w:val="left" w:pos="1134"/>
              </w:tabs>
              <w:autoSpaceDE w:val="0"/>
              <w:autoSpaceDN w:val="0"/>
              <w:adjustRightInd w:val="0"/>
            </w:pPr>
            <w:r w:rsidRPr="00902564">
              <w:t>State units</w:t>
            </w:r>
          </w:p>
        </w:tc>
        <w:tc>
          <w:tcPr>
            <w:tcW w:w="2157" w:type="dxa"/>
            <w:vMerge w:val="restart"/>
            <w:shd w:val="clear" w:color="auto" w:fill="D9D9D9"/>
            <w:vAlign w:val="center"/>
          </w:tcPr>
          <w:p w:rsidR="00D81CAE" w:rsidRPr="00902564" w:rsidRDefault="00D81CAE" w:rsidP="0050299C">
            <w:pPr>
              <w:tabs>
                <w:tab w:val="left" w:pos="142"/>
                <w:tab w:val="left" w:pos="1134"/>
              </w:tabs>
              <w:autoSpaceDE w:val="0"/>
              <w:autoSpaceDN w:val="0"/>
              <w:adjustRightInd w:val="0"/>
              <w:jc w:val="center"/>
            </w:pPr>
            <w:r w:rsidRPr="00902564">
              <w:t>State units</w:t>
            </w:r>
          </w:p>
        </w:tc>
        <w:tc>
          <w:tcPr>
            <w:tcW w:w="1365" w:type="dxa"/>
            <w:vMerge w:val="restart"/>
            <w:vAlign w:val="center"/>
          </w:tcPr>
          <w:p w:rsidR="00D81CAE" w:rsidRPr="00902564" w:rsidRDefault="00D81CAE" w:rsidP="0050299C">
            <w:pPr>
              <w:tabs>
                <w:tab w:val="left" w:pos="142"/>
                <w:tab w:val="left" w:pos="1134"/>
              </w:tabs>
              <w:autoSpaceDE w:val="0"/>
              <w:autoSpaceDN w:val="0"/>
              <w:adjustRightInd w:val="0"/>
              <w:jc w:val="center"/>
            </w:pPr>
            <w:r w:rsidRPr="00902564">
              <w:t>Private units</w:t>
            </w:r>
          </w:p>
        </w:tc>
        <w:tc>
          <w:tcPr>
            <w:tcW w:w="1984" w:type="dxa"/>
            <w:vMerge w:val="restart"/>
            <w:vAlign w:val="center"/>
          </w:tcPr>
          <w:p w:rsidR="00D81CAE" w:rsidRPr="00902564" w:rsidRDefault="00D81CAE" w:rsidP="0050299C">
            <w:pPr>
              <w:tabs>
                <w:tab w:val="left" w:pos="142"/>
                <w:tab w:val="left" w:pos="1134"/>
              </w:tabs>
              <w:autoSpaceDE w:val="0"/>
              <w:autoSpaceDN w:val="0"/>
              <w:adjustRightInd w:val="0"/>
              <w:jc w:val="center"/>
            </w:pPr>
            <w:r w:rsidRPr="00902564">
              <w:t>Private units</w:t>
            </w:r>
          </w:p>
        </w:tc>
      </w:tr>
      <w:tr w:rsidR="00D81CAE" w:rsidRPr="00902564" w:rsidTr="0050299C">
        <w:tc>
          <w:tcPr>
            <w:tcW w:w="2127" w:type="dxa"/>
          </w:tcPr>
          <w:p w:rsidR="00D81CAE" w:rsidRPr="00902564" w:rsidRDefault="00D81CAE" w:rsidP="0050299C">
            <w:pPr>
              <w:tabs>
                <w:tab w:val="left" w:pos="142"/>
                <w:tab w:val="left" w:pos="1134"/>
              </w:tabs>
              <w:autoSpaceDE w:val="0"/>
              <w:autoSpaceDN w:val="0"/>
              <w:adjustRightInd w:val="0"/>
            </w:pPr>
            <w:r w:rsidRPr="00902564">
              <w:t>Private units</w:t>
            </w:r>
          </w:p>
        </w:tc>
        <w:tc>
          <w:tcPr>
            <w:tcW w:w="2006" w:type="dxa"/>
          </w:tcPr>
          <w:p w:rsidR="00D81CAE" w:rsidRPr="00902564" w:rsidRDefault="00D81CAE" w:rsidP="0050299C">
            <w:pPr>
              <w:tabs>
                <w:tab w:val="left" w:pos="142"/>
                <w:tab w:val="left" w:pos="1134"/>
              </w:tabs>
              <w:autoSpaceDE w:val="0"/>
              <w:autoSpaceDN w:val="0"/>
              <w:adjustRightInd w:val="0"/>
            </w:pPr>
            <w:r w:rsidRPr="00902564">
              <w:t>Private units</w:t>
            </w:r>
          </w:p>
        </w:tc>
        <w:tc>
          <w:tcPr>
            <w:tcW w:w="2157" w:type="dxa"/>
            <w:vMerge/>
          </w:tcPr>
          <w:p w:rsidR="00D81CAE" w:rsidRPr="00902564" w:rsidRDefault="00D81CAE" w:rsidP="0050299C">
            <w:pPr>
              <w:tabs>
                <w:tab w:val="left" w:pos="142"/>
                <w:tab w:val="left" w:pos="1134"/>
              </w:tabs>
              <w:autoSpaceDE w:val="0"/>
              <w:autoSpaceDN w:val="0"/>
              <w:adjustRightInd w:val="0"/>
            </w:pPr>
          </w:p>
        </w:tc>
        <w:tc>
          <w:tcPr>
            <w:tcW w:w="1365" w:type="dxa"/>
            <w:vMerge/>
          </w:tcPr>
          <w:p w:rsidR="00D81CAE" w:rsidRPr="00902564" w:rsidRDefault="00D81CAE" w:rsidP="0050299C">
            <w:pPr>
              <w:tabs>
                <w:tab w:val="left" w:pos="142"/>
                <w:tab w:val="left" w:pos="1134"/>
              </w:tabs>
              <w:autoSpaceDE w:val="0"/>
              <w:autoSpaceDN w:val="0"/>
              <w:adjustRightInd w:val="0"/>
              <w:jc w:val="center"/>
            </w:pPr>
          </w:p>
        </w:tc>
        <w:tc>
          <w:tcPr>
            <w:tcW w:w="1984" w:type="dxa"/>
            <w:vMerge/>
          </w:tcPr>
          <w:p w:rsidR="00D81CAE" w:rsidRPr="00902564" w:rsidRDefault="00D81CAE" w:rsidP="0050299C">
            <w:pPr>
              <w:tabs>
                <w:tab w:val="left" w:pos="142"/>
                <w:tab w:val="left" w:pos="1134"/>
              </w:tabs>
              <w:autoSpaceDE w:val="0"/>
              <w:autoSpaceDN w:val="0"/>
              <w:adjustRightInd w:val="0"/>
            </w:pPr>
          </w:p>
        </w:tc>
      </w:tr>
    </w:tbl>
    <w:p w:rsidR="00D81CAE" w:rsidRPr="00902564" w:rsidRDefault="00C97DE6" w:rsidP="00D81CAE">
      <w:pPr>
        <w:tabs>
          <w:tab w:val="left" w:pos="142"/>
          <w:tab w:val="left" w:pos="993"/>
        </w:tabs>
        <w:autoSpaceDE w:val="0"/>
        <w:autoSpaceDN w:val="0"/>
        <w:adjustRightInd w:val="0"/>
        <w:rPr>
          <w:sz w:val="28"/>
          <w:szCs w:val="28"/>
        </w:rPr>
      </w:pPr>
      <w:r>
        <w:rPr>
          <w:sz w:val="28"/>
          <w:szCs w:val="28"/>
        </w:rPr>
        <w:pict>
          <v:rect id="_x0000_s1034" style="position:absolute;margin-left:74.1pt;margin-top:9.95pt;width:145.05pt;height:21.5pt;z-index:251661312;mso-position-horizontal-relative:text;mso-position-vertical-relative:text" stroked="f">
            <v:textbox>
              <w:txbxContent>
                <w:p w:rsidR="00D81CAE" w:rsidRDefault="00D81CAE" w:rsidP="00D81CAE">
                  <w:r>
                    <w:t>-   Государственный сектор</w:t>
                  </w:r>
                </w:p>
              </w:txbxContent>
            </v:textbox>
          </v:rect>
        </w:pict>
      </w:r>
      <w:r>
        <w:rPr>
          <w:sz w:val="28"/>
          <w:szCs w:val="28"/>
        </w:rPr>
        <w:pict>
          <v:rect id="_x0000_s1033" style="position:absolute;margin-left:28.75pt;margin-top:14.35pt;width:40.25pt;height:12.65pt;z-index:251660288;mso-position-horizontal-relative:text;mso-position-vertical-relative:text" fillcolor="#d8d8d8" stroked="f"/>
        </w:pict>
      </w:r>
    </w:p>
    <w:p w:rsidR="00D81CAE" w:rsidRPr="00902564" w:rsidRDefault="00D81CAE" w:rsidP="00D81CAE">
      <w:pPr>
        <w:autoSpaceDE w:val="0"/>
        <w:autoSpaceDN w:val="0"/>
        <w:adjustRightInd w:val="0"/>
        <w:jc w:val="center"/>
        <w:rPr>
          <w:b/>
          <w:sz w:val="28"/>
          <w:szCs w:val="28"/>
        </w:rPr>
      </w:pPr>
    </w:p>
    <w:p w:rsidR="00D81CAE" w:rsidRPr="00902564" w:rsidRDefault="00D81CAE" w:rsidP="00D81CAE">
      <w:pPr>
        <w:autoSpaceDE w:val="0"/>
        <w:autoSpaceDN w:val="0"/>
        <w:adjustRightInd w:val="0"/>
        <w:rPr>
          <w:rFonts w:ascii="MinionPro-MediumCn" w:hAnsi="MinionPro-MediumCn" w:cs="MinionPro-MediumCn"/>
          <w:sz w:val="28"/>
          <w:szCs w:val="28"/>
          <w:highlight w:val="cyan"/>
        </w:rPr>
      </w:pPr>
    </w:p>
    <w:p w:rsidR="00D81CAE" w:rsidRPr="00902564" w:rsidRDefault="00D81CAE" w:rsidP="00D81CAE">
      <w:pPr>
        <w:autoSpaceDE w:val="0"/>
        <w:autoSpaceDN w:val="0"/>
        <w:adjustRightInd w:val="0"/>
        <w:rPr>
          <w:rFonts w:ascii="MinionPro-MediumCn" w:hAnsi="MinionPro-MediumCn" w:cs="MinionPro-MediumCn"/>
          <w:sz w:val="28"/>
          <w:szCs w:val="28"/>
          <w:highlight w:val="cyan"/>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Default="00D81CAE" w:rsidP="00D81CAE">
      <w:pPr>
        <w:ind w:left="6663"/>
        <w:rPr>
          <w:sz w:val="28"/>
          <w:szCs w:val="28"/>
        </w:rPr>
      </w:pPr>
    </w:p>
    <w:p w:rsidR="00D81CAE" w:rsidRPr="00902564" w:rsidRDefault="003F67CF" w:rsidP="00D81CAE">
      <w:pPr>
        <w:ind w:left="6663"/>
        <w:rPr>
          <w:sz w:val="28"/>
          <w:szCs w:val="28"/>
        </w:rPr>
      </w:pPr>
      <w:r>
        <w:rPr>
          <w:sz w:val="28"/>
          <w:szCs w:val="28"/>
        </w:rPr>
        <w:t>Appendix 3</w:t>
      </w:r>
    </w:p>
    <w:p w:rsidR="00D81CAE" w:rsidRPr="00902564" w:rsidRDefault="003F67CF" w:rsidP="00D81CAE">
      <w:pPr>
        <w:ind w:left="6663"/>
        <w:rPr>
          <w:sz w:val="28"/>
          <w:szCs w:val="28"/>
          <w:u w:val="single"/>
        </w:rPr>
      </w:pPr>
      <w:r w:rsidRPr="003F67CF">
        <w:rPr>
          <w:sz w:val="28"/>
          <w:szCs w:val="28"/>
        </w:rPr>
        <w:t>to the Methodology for Accounting for Pension Fund Services</w:t>
      </w:r>
    </w:p>
    <w:p w:rsidR="00D81CAE" w:rsidRPr="00902564" w:rsidRDefault="00D81CAE" w:rsidP="00D81CAE">
      <w:pPr>
        <w:tabs>
          <w:tab w:val="left" w:pos="3261"/>
        </w:tabs>
        <w:jc w:val="center"/>
        <w:rPr>
          <w:sz w:val="28"/>
          <w:szCs w:val="28"/>
        </w:rPr>
      </w:pPr>
    </w:p>
    <w:p w:rsidR="00D81CAE" w:rsidRPr="00902564" w:rsidRDefault="00D81CAE" w:rsidP="00D81CAE">
      <w:pPr>
        <w:tabs>
          <w:tab w:val="left" w:pos="3261"/>
        </w:tabs>
        <w:jc w:val="center"/>
        <w:rPr>
          <w:sz w:val="28"/>
          <w:szCs w:val="28"/>
        </w:rPr>
      </w:pPr>
    </w:p>
    <w:p w:rsidR="00D81CAE" w:rsidRPr="00902564" w:rsidRDefault="00D81CAE" w:rsidP="00D81CAE">
      <w:pPr>
        <w:autoSpaceDE w:val="0"/>
        <w:autoSpaceDN w:val="0"/>
        <w:adjustRightInd w:val="0"/>
        <w:jc w:val="center"/>
        <w:rPr>
          <w:b/>
          <w:sz w:val="28"/>
          <w:szCs w:val="28"/>
        </w:rPr>
      </w:pPr>
      <w:r w:rsidRPr="00902564">
        <w:rPr>
          <w:b/>
          <w:sz w:val="28"/>
          <w:szCs w:val="28"/>
        </w:rPr>
        <w:t>Calculation of gross output, intermediate consumption and gross value added of UAPF services</w:t>
      </w:r>
    </w:p>
    <w:p w:rsidR="00D81CAE" w:rsidRPr="00902564" w:rsidRDefault="00D81CAE" w:rsidP="00D81CAE">
      <w:pPr>
        <w:autoSpaceDE w:val="0"/>
        <w:autoSpaceDN w:val="0"/>
        <w:adjustRightInd w:val="0"/>
        <w:jc w:val="center"/>
        <w:rPr>
          <w:rFonts w:ascii="MinionPro-MediumCn" w:hAnsi="MinionPro-MediumCn" w:cs="MinionPro-MediumCn"/>
          <w:sz w:val="28"/>
          <w:szCs w:val="28"/>
          <w:highlight w:val="cyan"/>
        </w:rPr>
      </w:pPr>
    </w:p>
    <w:p w:rsidR="00D81CAE" w:rsidRPr="00902564" w:rsidRDefault="00D81CAE" w:rsidP="00D81CAE">
      <w:pPr>
        <w:autoSpaceDE w:val="0"/>
        <w:autoSpaceDN w:val="0"/>
        <w:adjustRightInd w:val="0"/>
        <w:jc w:val="right"/>
        <w:rPr>
          <w:rFonts w:ascii="MinionPro-MediumCn" w:hAnsi="MinionPro-MediumCn" w:cs="MinionPro-MediumCn"/>
        </w:rPr>
      </w:pPr>
      <w:r w:rsidRPr="00902564">
        <w:rPr>
          <w:rFonts w:ascii="MinionPro-MediumCn" w:hAnsi="MinionPro-MediumCn" w:cs="MinionPro-MediumCn"/>
        </w:rPr>
        <w:t>thousand tenge</w:t>
      </w:r>
    </w:p>
    <w:p w:rsidR="00D81CAE" w:rsidRPr="00902564" w:rsidRDefault="00D81CAE" w:rsidP="00D81CAE">
      <w:pPr>
        <w:autoSpaceDE w:val="0"/>
        <w:autoSpaceDN w:val="0"/>
        <w:adjustRightInd w:val="0"/>
        <w:jc w:val="right"/>
        <w:rPr>
          <w:rFonts w:ascii="MinionPro-MediumCn" w:hAnsi="MinionPro-MediumCn" w:cs="MinionPro-Medium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18"/>
        <w:gridCol w:w="1664"/>
        <w:gridCol w:w="1664"/>
        <w:gridCol w:w="1664"/>
      </w:tblGrid>
      <w:tr w:rsidR="00D81CAE" w:rsidRPr="008068CB" w:rsidTr="0050299C">
        <w:tc>
          <w:tcPr>
            <w:tcW w:w="534" w:type="dxa"/>
            <w:vAlign w:val="center"/>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No.</w:t>
            </w:r>
          </w:p>
        </w:tc>
        <w:tc>
          <w:tcPr>
            <w:tcW w:w="4110" w:type="dxa"/>
            <w:vAlign w:val="center"/>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Profit and loss statement of JSC "Unified accumulative pension fund"</w:t>
            </w:r>
          </w:p>
        </w:tc>
        <w:tc>
          <w:tcPr>
            <w:tcW w:w="1701" w:type="dxa"/>
            <w:vAlign w:val="center"/>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2014</w:t>
            </w:r>
          </w:p>
        </w:tc>
        <w:tc>
          <w:tcPr>
            <w:tcW w:w="1701" w:type="dxa"/>
            <w:vAlign w:val="center"/>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2015</w:t>
            </w:r>
          </w:p>
        </w:tc>
        <w:tc>
          <w:tcPr>
            <w:tcW w:w="1701" w:type="dxa"/>
            <w:vAlign w:val="center"/>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2016</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1</w:t>
            </w:r>
          </w:p>
        </w:tc>
        <w:tc>
          <w:tcPr>
            <w:tcW w:w="4110" w:type="dxa"/>
          </w:tcPr>
          <w:p w:rsidR="00D81CAE" w:rsidRPr="008068CB" w:rsidRDefault="00D81CAE" w:rsidP="0050299C">
            <w:r w:rsidRPr="008068CB">
              <w:t>Commissions, including:</w:t>
            </w:r>
          </w:p>
        </w:tc>
        <w:tc>
          <w:tcPr>
            <w:tcW w:w="1701" w:type="dxa"/>
            <w:vAlign w:val="center"/>
          </w:tcPr>
          <w:p w:rsidR="00D81CAE" w:rsidRPr="008068CB" w:rsidRDefault="00D81CAE" w:rsidP="0050299C">
            <w:pPr>
              <w:jc w:val="center"/>
            </w:pPr>
            <w:r w:rsidRPr="008068CB">
              <w:t>26 423 162</w:t>
            </w:r>
          </w:p>
        </w:tc>
        <w:tc>
          <w:tcPr>
            <w:tcW w:w="1701" w:type="dxa"/>
            <w:vAlign w:val="center"/>
          </w:tcPr>
          <w:p w:rsidR="00D81CAE" w:rsidRPr="008068CB" w:rsidRDefault="00D81CAE" w:rsidP="0050299C">
            <w:pPr>
              <w:jc w:val="center"/>
            </w:pPr>
            <w:r w:rsidRPr="008068CB">
              <w:t>58 856 318</w:t>
            </w:r>
          </w:p>
        </w:tc>
        <w:tc>
          <w:tcPr>
            <w:tcW w:w="1701" w:type="dxa"/>
            <w:vAlign w:val="center"/>
          </w:tcPr>
          <w:p w:rsidR="00D81CAE" w:rsidRPr="008068CB" w:rsidRDefault="00D81CAE" w:rsidP="0050299C">
            <w:pPr>
              <w:jc w:val="center"/>
            </w:pPr>
            <w:r w:rsidRPr="008068CB">
              <w:t>58 563 783</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2</w:t>
            </w:r>
          </w:p>
        </w:tc>
        <w:tc>
          <w:tcPr>
            <w:tcW w:w="4110" w:type="dxa"/>
          </w:tcPr>
          <w:p w:rsidR="00D81CAE" w:rsidRPr="008068CB" w:rsidRDefault="00D81CAE" w:rsidP="0050299C">
            <w:r w:rsidRPr="008068CB">
              <w:t>from pension assets</w:t>
            </w:r>
          </w:p>
        </w:tc>
        <w:tc>
          <w:tcPr>
            <w:tcW w:w="1701" w:type="dxa"/>
            <w:vAlign w:val="center"/>
          </w:tcPr>
          <w:p w:rsidR="00D81CAE" w:rsidRPr="008068CB" w:rsidRDefault="00D81CAE" w:rsidP="0050299C">
            <w:pPr>
              <w:jc w:val="center"/>
            </w:pPr>
            <w:r w:rsidRPr="008068CB">
              <w:t>9 239 578</w:t>
            </w:r>
          </w:p>
        </w:tc>
        <w:tc>
          <w:tcPr>
            <w:tcW w:w="1701" w:type="dxa"/>
            <w:vAlign w:val="center"/>
          </w:tcPr>
          <w:p w:rsidR="00D81CAE" w:rsidRPr="008068CB" w:rsidRDefault="00D81CAE" w:rsidP="0050299C">
            <w:pPr>
              <w:jc w:val="center"/>
            </w:pPr>
            <w:r w:rsidRPr="008068CB">
              <w:t>14 046 830</w:t>
            </w:r>
          </w:p>
        </w:tc>
        <w:tc>
          <w:tcPr>
            <w:tcW w:w="1701" w:type="dxa"/>
            <w:vAlign w:val="center"/>
          </w:tcPr>
          <w:p w:rsidR="00D81CAE" w:rsidRPr="008068CB" w:rsidRDefault="00D81CAE" w:rsidP="0050299C">
            <w:pPr>
              <w:jc w:val="center"/>
            </w:pPr>
            <w:r w:rsidRPr="008068CB">
              <w:t>16 088 937</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3</w:t>
            </w:r>
          </w:p>
        </w:tc>
        <w:tc>
          <w:tcPr>
            <w:tcW w:w="4110" w:type="dxa"/>
          </w:tcPr>
          <w:p w:rsidR="00D81CAE" w:rsidRPr="008068CB" w:rsidRDefault="00D81CAE" w:rsidP="0050299C">
            <w:r w:rsidRPr="008068CB">
              <w:t>from investment income (loss) on pension assets</w:t>
            </w:r>
          </w:p>
        </w:tc>
        <w:tc>
          <w:tcPr>
            <w:tcW w:w="1701" w:type="dxa"/>
            <w:vAlign w:val="center"/>
          </w:tcPr>
          <w:p w:rsidR="00D81CAE" w:rsidRPr="008068CB" w:rsidRDefault="00D81CAE" w:rsidP="0050299C">
            <w:pPr>
              <w:jc w:val="center"/>
            </w:pPr>
            <w:r w:rsidRPr="008068CB">
              <w:t>17 183 584</w:t>
            </w:r>
          </w:p>
        </w:tc>
        <w:tc>
          <w:tcPr>
            <w:tcW w:w="1701" w:type="dxa"/>
            <w:vAlign w:val="center"/>
          </w:tcPr>
          <w:p w:rsidR="00D81CAE" w:rsidRPr="008068CB" w:rsidRDefault="00D81CAE" w:rsidP="0050299C">
            <w:pPr>
              <w:jc w:val="center"/>
            </w:pPr>
            <w:r w:rsidRPr="008068CB">
              <w:t>44 809 488</w:t>
            </w:r>
          </w:p>
        </w:tc>
        <w:tc>
          <w:tcPr>
            <w:tcW w:w="1701" w:type="dxa"/>
            <w:vAlign w:val="center"/>
          </w:tcPr>
          <w:p w:rsidR="00D81CAE" w:rsidRPr="008068CB" w:rsidRDefault="00D81CAE" w:rsidP="0050299C">
            <w:pPr>
              <w:jc w:val="center"/>
            </w:pPr>
            <w:r w:rsidRPr="008068CB">
              <w:t>42 474 846</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4</w:t>
            </w:r>
          </w:p>
        </w:tc>
        <w:tc>
          <w:tcPr>
            <w:tcW w:w="4110" w:type="dxa"/>
          </w:tcPr>
          <w:p w:rsidR="00D81CAE" w:rsidRPr="008068CB" w:rsidRDefault="00D81CAE" w:rsidP="0050299C">
            <w:pPr>
              <w:autoSpaceDE w:val="0"/>
              <w:autoSpaceDN w:val="0"/>
              <w:adjustRightInd w:val="0"/>
              <w:rPr>
                <w:rFonts w:ascii="MinionPro-MediumCn" w:hAnsi="MinionPro-MediumCn" w:cs="MinionPro-MediumCn"/>
              </w:rPr>
            </w:pPr>
            <w:r w:rsidRPr="008068CB">
              <w:t>Other income</w:t>
            </w:r>
          </w:p>
        </w:tc>
        <w:tc>
          <w:tcPr>
            <w:tcW w:w="1701" w:type="dxa"/>
            <w:vAlign w:val="center"/>
          </w:tcPr>
          <w:p w:rsidR="00D81CAE" w:rsidRPr="008068CB" w:rsidRDefault="00D81CAE" w:rsidP="0050299C">
            <w:pPr>
              <w:jc w:val="center"/>
            </w:pPr>
            <w:r w:rsidRPr="008068CB">
              <w:t>1 238</w:t>
            </w:r>
          </w:p>
        </w:tc>
        <w:tc>
          <w:tcPr>
            <w:tcW w:w="1701" w:type="dxa"/>
            <w:vAlign w:val="center"/>
          </w:tcPr>
          <w:p w:rsidR="00D81CAE" w:rsidRPr="008068CB" w:rsidRDefault="00D81CAE" w:rsidP="0050299C">
            <w:pPr>
              <w:jc w:val="center"/>
            </w:pPr>
            <w:r w:rsidRPr="008068CB">
              <w:t>4401</w:t>
            </w:r>
          </w:p>
        </w:tc>
        <w:tc>
          <w:tcPr>
            <w:tcW w:w="1701" w:type="dxa"/>
            <w:vAlign w:val="center"/>
          </w:tcPr>
          <w:p w:rsidR="00D81CAE" w:rsidRPr="008068CB" w:rsidRDefault="00D81CAE" w:rsidP="0050299C">
            <w:pPr>
              <w:jc w:val="center"/>
            </w:pPr>
            <w:r w:rsidRPr="008068CB">
              <w:t>445 463</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5</w:t>
            </w:r>
          </w:p>
        </w:tc>
        <w:tc>
          <w:tcPr>
            <w:tcW w:w="4110" w:type="dxa"/>
          </w:tcPr>
          <w:p w:rsidR="00D81CAE" w:rsidRPr="008068CB" w:rsidRDefault="00D81CAE" w:rsidP="0050299C">
            <w:pPr>
              <w:autoSpaceDE w:val="0"/>
              <w:autoSpaceDN w:val="0"/>
              <w:adjustRightInd w:val="0"/>
              <w:rPr>
                <w:rFonts w:ascii="MinionPro-MediumCn" w:hAnsi="MinionPro-MediumCn" w:cs="MinionPro-MediumCn"/>
              </w:rPr>
            </w:pPr>
            <w:r w:rsidRPr="008068CB">
              <w:rPr>
                <w:rFonts w:ascii="MinionPro-MediumCn" w:hAnsi="MinionPro-MediumCn" w:cs="MinionPro-MediumCn"/>
              </w:rPr>
              <w:t>Total release = 1+4</w:t>
            </w:r>
          </w:p>
        </w:tc>
        <w:tc>
          <w:tcPr>
            <w:tcW w:w="1701" w:type="dxa"/>
            <w:vAlign w:val="center"/>
          </w:tcPr>
          <w:p w:rsidR="00D81CAE" w:rsidRPr="008068CB" w:rsidRDefault="00D81CAE" w:rsidP="0050299C">
            <w:pPr>
              <w:jc w:val="center"/>
            </w:pPr>
            <w:r w:rsidRPr="008068CB">
              <w:t>26 424 400</w:t>
            </w:r>
          </w:p>
        </w:tc>
        <w:tc>
          <w:tcPr>
            <w:tcW w:w="1701" w:type="dxa"/>
            <w:vAlign w:val="center"/>
          </w:tcPr>
          <w:p w:rsidR="00D81CAE" w:rsidRPr="008068CB" w:rsidRDefault="00D81CAE" w:rsidP="0050299C">
            <w:pPr>
              <w:jc w:val="center"/>
            </w:pPr>
            <w:r w:rsidRPr="008068CB">
              <w:t>58 860 719</w:t>
            </w:r>
          </w:p>
        </w:tc>
        <w:tc>
          <w:tcPr>
            <w:tcW w:w="1701" w:type="dxa"/>
            <w:vAlign w:val="center"/>
          </w:tcPr>
          <w:p w:rsidR="00D81CAE" w:rsidRPr="008068CB" w:rsidRDefault="00D81CAE" w:rsidP="0050299C">
            <w:pPr>
              <w:jc w:val="center"/>
            </w:pPr>
            <w:r w:rsidRPr="008068CB">
              <w:t>59 009 246</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6</w:t>
            </w:r>
          </w:p>
        </w:tc>
        <w:tc>
          <w:tcPr>
            <w:tcW w:w="4110" w:type="dxa"/>
          </w:tcPr>
          <w:p w:rsidR="00D81CAE" w:rsidRPr="008068CB" w:rsidRDefault="00D81CAE" w:rsidP="0050299C">
            <w:r w:rsidRPr="008068CB">
              <w:t>commission expenses,</w:t>
            </w:r>
          </w:p>
          <w:p w:rsidR="00D81CAE" w:rsidRPr="008068CB" w:rsidRDefault="00D81CAE" w:rsidP="0050299C">
            <w:r w:rsidRPr="008068CB">
              <w:t>of them:</w:t>
            </w:r>
          </w:p>
        </w:tc>
        <w:tc>
          <w:tcPr>
            <w:tcW w:w="1701" w:type="dxa"/>
            <w:vAlign w:val="center"/>
          </w:tcPr>
          <w:p w:rsidR="00D81CAE" w:rsidRPr="008068CB" w:rsidRDefault="00D81CAE" w:rsidP="0050299C">
            <w:pPr>
              <w:jc w:val="center"/>
            </w:pPr>
            <w:r w:rsidRPr="008068CB">
              <w:t>6 337 719</w:t>
            </w:r>
          </w:p>
        </w:tc>
        <w:tc>
          <w:tcPr>
            <w:tcW w:w="1701" w:type="dxa"/>
            <w:vAlign w:val="center"/>
          </w:tcPr>
          <w:p w:rsidR="00D81CAE" w:rsidRPr="008068CB" w:rsidRDefault="00D81CAE" w:rsidP="0050299C">
            <w:pPr>
              <w:jc w:val="center"/>
            </w:pPr>
            <w:r w:rsidRPr="008068CB">
              <w:t>20 676 396</w:t>
            </w:r>
          </w:p>
        </w:tc>
        <w:tc>
          <w:tcPr>
            <w:tcW w:w="1701" w:type="dxa"/>
            <w:vAlign w:val="center"/>
          </w:tcPr>
          <w:p w:rsidR="00D81CAE" w:rsidRPr="008068CB" w:rsidRDefault="00D81CAE" w:rsidP="0050299C">
            <w:pPr>
              <w:jc w:val="center"/>
            </w:pPr>
            <w:r w:rsidRPr="008068CB">
              <w:t>5 854 810</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7</w:t>
            </w:r>
          </w:p>
        </w:tc>
        <w:tc>
          <w:tcPr>
            <w:tcW w:w="4110" w:type="dxa"/>
          </w:tcPr>
          <w:p w:rsidR="00D81CAE" w:rsidRPr="008068CB" w:rsidRDefault="00D81CAE" w:rsidP="0050299C">
            <w:r w:rsidRPr="008068CB">
              <w:t>portfolio manager remuneration</w:t>
            </w:r>
          </w:p>
        </w:tc>
        <w:tc>
          <w:tcPr>
            <w:tcW w:w="1701" w:type="dxa"/>
            <w:vAlign w:val="center"/>
          </w:tcPr>
          <w:p w:rsidR="00D81CAE" w:rsidRPr="008068CB" w:rsidRDefault="00D81CAE" w:rsidP="0050299C">
            <w:pPr>
              <w:jc w:val="center"/>
            </w:pPr>
            <w:r w:rsidRPr="008068CB">
              <w:t>5 317 033</w:t>
            </w:r>
          </w:p>
        </w:tc>
        <w:tc>
          <w:tcPr>
            <w:tcW w:w="1701" w:type="dxa"/>
            <w:vAlign w:val="center"/>
          </w:tcPr>
          <w:p w:rsidR="00D81CAE" w:rsidRPr="008068CB" w:rsidRDefault="00D81CAE" w:rsidP="0050299C">
            <w:pPr>
              <w:jc w:val="center"/>
            </w:pPr>
            <w:r w:rsidRPr="008068CB">
              <w:t>19 313 399</w:t>
            </w:r>
          </w:p>
        </w:tc>
        <w:tc>
          <w:tcPr>
            <w:tcW w:w="1701" w:type="dxa"/>
            <w:vAlign w:val="center"/>
          </w:tcPr>
          <w:p w:rsidR="00D81CAE" w:rsidRPr="008068CB" w:rsidRDefault="00D81CAE" w:rsidP="0050299C">
            <w:pPr>
              <w:jc w:val="center"/>
            </w:pPr>
            <w:r w:rsidRPr="008068CB">
              <w:t>3 610 367</w:t>
            </w:r>
          </w:p>
        </w:tc>
      </w:tr>
      <w:tr w:rsidR="00D81CAE" w:rsidRPr="008068CB" w:rsidTr="0050299C">
        <w:trPr>
          <w:trHeight w:val="291"/>
        </w:trPr>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8</w:t>
            </w:r>
          </w:p>
        </w:tc>
        <w:tc>
          <w:tcPr>
            <w:tcW w:w="4110" w:type="dxa"/>
          </w:tcPr>
          <w:p w:rsidR="00D81CAE" w:rsidRPr="008068CB" w:rsidRDefault="00D81CAE" w:rsidP="0050299C">
            <w:r w:rsidRPr="008068CB">
              <w:t>remuneration to custodian banks</w:t>
            </w:r>
          </w:p>
        </w:tc>
        <w:tc>
          <w:tcPr>
            <w:tcW w:w="1701" w:type="dxa"/>
            <w:vAlign w:val="center"/>
          </w:tcPr>
          <w:p w:rsidR="00D81CAE" w:rsidRPr="008068CB" w:rsidRDefault="00D81CAE" w:rsidP="0050299C">
            <w:pPr>
              <w:jc w:val="center"/>
            </w:pPr>
            <w:r w:rsidRPr="008068CB">
              <w:t>1 020 686</w:t>
            </w:r>
          </w:p>
        </w:tc>
        <w:tc>
          <w:tcPr>
            <w:tcW w:w="1701" w:type="dxa"/>
            <w:vAlign w:val="center"/>
          </w:tcPr>
          <w:p w:rsidR="00D81CAE" w:rsidRPr="008068CB" w:rsidRDefault="00D81CAE" w:rsidP="0050299C">
            <w:pPr>
              <w:jc w:val="center"/>
            </w:pPr>
            <w:r w:rsidRPr="008068CB">
              <w:t>1 362 997</w:t>
            </w:r>
          </w:p>
        </w:tc>
        <w:tc>
          <w:tcPr>
            <w:tcW w:w="1701" w:type="dxa"/>
            <w:vAlign w:val="center"/>
          </w:tcPr>
          <w:p w:rsidR="00D81CAE" w:rsidRPr="008068CB" w:rsidRDefault="00D81CAE" w:rsidP="0050299C">
            <w:pPr>
              <w:jc w:val="center"/>
            </w:pPr>
            <w:r w:rsidRPr="008068CB">
              <w:t>2 244 443</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9</w:t>
            </w:r>
          </w:p>
        </w:tc>
        <w:tc>
          <w:tcPr>
            <w:tcW w:w="4110" w:type="dxa"/>
          </w:tcPr>
          <w:p w:rsidR="00D81CAE" w:rsidRPr="008068CB" w:rsidRDefault="00D81CAE" w:rsidP="0050299C">
            <w:r w:rsidRPr="008068CB">
              <w:t>Operating lease expenses</w:t>
            </w:r>
          </w:p>
        </w:tc>
        <w:tc>
          <w:tcPr>
            <w:tcW w:w="1701" w:type="dxa"/>
            <w:vAlign w:val="center"/>
          </w:tcPr>
          <w:p w:rsidR="00D81CAE" w:rsidRPr="008068CB" w:rsidRDefault="00D81CAE" w:rsidP="0050299C">
            <w:pPr>
              <w:jc w:val="center"/>
            </w:pPr>
            <w:r w:rsidRPr="008068CB">
              <w:t>592 382</w:t>
            </w:r>
          </w:p>
        </w:tc>
        <w:tc>
          <w:tcPr>
            <w:tcW w:w="1701" w:type="dxa"/>
            <w:vAlign w:val="center"/>
          </w:tcPr>
          <w:p w:rsidR="00D81CAE" w:rsidRPr="008068CB" w:rsidRDefault="00D81CAE" w:rsidP="0050299C">
            <w:pPr>
              <w:jc w:val="center"/>
            </w:pPr>
            <w:r w:rsidRPr="008068CB">
              <w:t>823 236</w:t>
            </w:r>
          </w:p>
        </w:tc>
        <w:tc>
          <w:tcPr>
            <w:tcW w:w="1701" w:type="dxa"/>
            <w:vAlign w:val="center"/>
          </w:tcPr>
          <w:p w:rsidR="00D81CAE" w:rsidRPr="008068CB" w:rsidRDefault="00D81CAE" w:rsidP="0050299C">
            <w:pPr>
              <w:jc w:val="center"/>
            </w:pPr>
            <w:r w:rsidRPr="008068CB">
              <w:t>1 026 763</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10</w:t>
            </w:r>
          </w:p>
        </w:tc>
        <w:tc>
          <w:tcPr>
            <w:tcW w:w="4110" w:type="dxa"/>
          </w:tcPr>
          <w:p w:rsidR="00D81CAE" w:rsidRPr="008068CB" w:rsidRDefault="00D81CAE" w:rsidP="0050299C">
            <w:r w:rsidRPr="008068CB">
              <w:t>Other administrative expenses</w:t>
            </w:r>
          </w:p>
        </w:tc>
        <w:tc>
          <w:tcPr>
            <w:tcW w:w="1701" w:type="dxa"/>
            <w:vAlign w:val="center"/>
          </w:tcPr>
          <w:p w:rsidR="00D81CAE" w:rsidRPr="008068CB" w:rsidRDefault="00D81CAE" w:rsidP="0050299C">
            <w:pPr>
              <w:jc w:val="center"/>
            </w:pPr>
            <w:r w:rsidRPr="008068CB">
              <w:t>969 984</w:t>
            </w:r>
          </w:p>
        </w:tc>
        <w:tc>
          <w:tcPr>
            <w:tcW w:w="1701" w:type="dxa"/>
            <w:vAlign w:val="center"/>
          </w:tcPr>
          <w:p w:rsidR="00D81CAE" w:rsidRPr="008068CB" w:rsidRDefault="00D81CAE" w:rsidP="0050299C">
            <w:pPr>
              <w:jc w:val="center"/>
            </w:pPr>
            <w:r w:rsidRPr="008068CB">
              <w:t>1 889 841</w:t>
            </w:r>
          </w:p>
        </w:tc>
        <w:tc>
          <w:tcPr>
            <w:tcW w:w="1701" w:type="dxa"/>
            <w:vAlign w:val="center"/>
          </w:tcPr>
          <w:p w:rsidR="00D81CAE" w:rsidRPr="008068CB" w:rsidRDefault="00D81CAE" w:rsidP="0050299C">
            <w:pPr>
              <w:jc w:val="center"/>
            </w:pPr>
            <w:r w:rsidRPr="008068CB">
              <w:t>2 717 500</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eleven</w:t>
            </w:r>
          </w:p>
        </w:tc>
        <w:tc>
          <w:tcPr>
            <w:tcW w:w="4110" w:type="dxa"/>
          </w:tcPr>
          <w:p w:rsidR="00D81CAE" w:rsidRPr="008068CB" w:rsidRDefault="00D81CAE" w:rsidP="0050299C">
            <w:r w:rsidRPr="008068CB">
              <w:t>other expenses</w:t>
            </w:r>
          </w:p>
        </w:tc>
        <w:tc>
          <w:tcPr>
            <w:tcW w:w="1701" w:type="dxa"/>
            <w:vAlign w:val="center"/>
          </w:tcPr>
          <w:p w:rsidR="00D81CAE" w:rsidRPr="008068CB" w:rsidRDefault="00D81CAE" w:rsidP="0050299C">
            <w:pPr>
              <w:jc w:val="center"/>
            </w:pPr>
            <w:r w:rsidRPr="008068CB">
              <w:t>8</w:t>
            </w:r>
          </w:p>
        </w:tc>
        <w:tc>
          <w:tcPr>
            <w:tcW w:w="1701" w:type="dxa"/>
            <w:vAlign w:val="center"/>
          </w:tcPr>
          <w:p w:rsidR="00D81CAE" w:rsidRPr="008068CB" w:rsidRDefault="00D81CAE" w:rsidP="0050299C">
            <w:pPr>
              <w:jc w:val="center"/>
            </w:pPr>
            <w:r w:rsidRPr="008068CB">
              <w:t>7 715</w:t>
            </w:r>
          </w:p>
        </w:tc>
        <w:tc>
          <w:tcPr>
            <w:tcW w:w="1701" w:type="dxa"/>
            <w:vAlign w:val="center"/>
          </w:tcPr>
          <w:p w:rsidR="00D81CAE" w:rsidRPr="008068CB" w:rsidRDefault="00D81CAE" w:rsidP="0050299C">
            <w:pPr>
              <w:jc w:val="center"/>
            </w:pPr>
            <w:r w:rsidRPr="008068CB">
              <w:t>0</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12</w:t>
            </w:r>
          </w:p>
        </w:tc>
        <w:tc>
          <w:tcPr>
            <w:tcW w:w="4110" w:type="dxa"/>
          </w:tcPr>
          <w:p w:rsidR="00D81CAE" w:rsidRPr="008068CB" w:rsidRDefault="00D81CAE" w:rsidP="0050299C">
            <w:r w:rsidRPr="008068CB">
              <w:t>Total intermediate consumption = 6+9+10+11</w:t>
            </w:r>
          </w:p>
        </w:tc>
        <w:tc>
          <w:tcPr>
            <w:tcW w:w="1701" w:type="dxa"/>
            <w:vAlign w:val="center"/>
          </w:tcPr>
          <w:p w:rsidR="00D81CAE" w:rsidRPr="008068CB" w:rsidRDefault="00D81CAE" w:rsidP="0050299C">
            <w:pPr>
              <w:jc w:val="center"/>
            </w:pPr>
            <w:r w:rsidRPr="008068CB">
              <w:t>7 900 093</w:t>
            </w:r>
          </w:p>
        </w:tc>
        <w:tc>
          <w:tcPr>
            <w:tcW w:w="1701" w:type="dxa"/>
            <w:vAlign w:val="center"/>
          </w:tcPr>
          <w:p w:rsidR="00D81CAE" w:rsidRPr="008068CB" w:rsidRDefault="00D81CAE" w:rsidP="0050299C">
            <w:pPr>
              <w:jc w:val="center"/>
            </w:pPr>
            <w:r w:rsidRPr="008068CB">
              <w:t>23 397 188</w:t>
            </w:r>
          </w:p>
        </w:tc>
        <w:tc>
          <w:tcPr>
            <w:tcW w:w="1701" w:type="dxa"/>
            <w:vAlign w:val="center"/>
          </w:tcPr>
          <w:p w:rsidR="00D81CAE" w:rsidRPr="008068CB" w:rsidRDefault="00D81CAE" w:rsidP="0050299C">
            <w:pPr>
              <w:jc w:val="center"/>
            </w:pPr>
            <w:r w:rsidRPr="008068CB">
              <w:t>9 599 073</w:t>
            </w:r>
          </w:p>
        </w:tc>
      </w:tr>
      <w:tr w:rsidR="00D81CAE" w:rsidRPr="008068CB" w:rsidTr="0050299C">
        <w:tc>
          <w:tcPr>
            <w:tcW w:w="534" w:type="dxa"/>
          </w:tcPr>
          <w:p w:rsidR="00D81CAE" w:rsidRPr="008068CB" w:rsidRDefault="00D81CAE" w:rsidP="0050299C">
            <w:pPr>
              <w:autoSpaceDE w:val="0"/>
              <w:autoSpaceDN w:val="0"/>
              <w:adjustRightInd w:val="0"/>
              <w:jc w:val="center"/>
              <w:rPr>
                <w:rFonts w:ascii="MinionPro-MediumCn" w:hAnsi="MinionPro-MediumCn" w:cs="MinionPro-MediumCn"/>
              </w:rPr>
            </w:pPr>
            <w:r w:rsidRPr="008068CB">
              <w:rPr>
                <w:rFonts w:ascii="MinionPro-MediumCn" w:hAnsi="MinionPro-MediumCn" w:cs="MinionPro-MediumCn"/>
              </w:rPr>
              <w:t>13</w:t>
            </w:r>
          </w:p>
        </w:tc>
        <w:tc>
          <w:tcPr>
            <w:tcW w:w="4110" w:type="dxa"/>
          </w:tcPr>
          <w:p w:rsidR="00D81CAE" w:rsidRPr="008068CB" w:rsidRDefault="00D81CAE" w:rsidP="0050299C">
            <w:r w:rsidRPr="008068CB">
              <w:t>Gross value added = 5-12</w:t>
            </w:r>
          </w:p>
        </w:tc>
        <w:tc>
          <w:tcPr>
            <w:tcW w:w="1701" w:type="dxa"/>
            <w:vAlign w:val="center"/>
          </w:tcPr>
          <w:p w:rsidR="00D81CAE" w:rsidRPr="008068CB" w:rsidRDefault="00D81CAE" w:rsidP="0050299C">
            <w:pPr>
              <w:jc w:val="center"/>
            </w:pPr>
            <w:r w:rsidRPr="008068CB">
              <w:t>18 524 307</w:t>
            </w:r>
          </w:p>
        </w:tc>
        <w:tc>
          <w:tcPr>
            <w:tcW w:w="1701" w:type="dxa"/>
            <w:vAlign w:val="center"/>
          </w:tcPr>
          <w:p w:rsidR="00D81CAE" w:rsidRPr="008068CB" w:rsidRDefault="00D81CAE" w:rsidP="0050299C">
            <w:pPr>
              <w:jc w:val="center"/>
            </w:pPr>
            <w:r w:rsidRPr="008068CB">
              <w:t>35 463 531</w:t>
            </w:r>
          </w:p>
        </w:tc>
        <w:tc>
          <w:tcPr>
            <w:tcW w:w="1701" w:type="dxa"/>
            <w:vAlign w:val="center"/>
          </w:tcPr>
          <w:p w:rsidR="00D81CAE" w:rsidRPr="008068CB" w:rsidRDefault="00D81CAE" w:rsidP="0050299C">
            <w:pPr>
              <w:jc w:val="center"/>
            </w:pPr>
            <w:r w:rsidRPr="008068CB">
              <w:t>49 410 173</w:t>
            </w:r>
          </w:p>
        </w:tc>
      </w:tr>
    </w:tbl>
    <w:p w:rsidR="00D81CAE" w:rsidRDefault="00D81CAE" w:rsidP="00B33317">
      <w:pPr>
        <w:ind w:firstLine="709"/>
        <w:jc w:val="both"/>
        <w:rPr>
          <w:b/>
          <w:iCs/>
          <w:sz w:val="28"/>
          <w:szCs w:val="28"/>
          <w:lang w:val="kk-KZ"/>
        </w:rPr>
      </w:pPr>
    </w:p>
    <w:sectPr w:rsidR="00D81CAE" w:rsidSect="00CF45ED">
      <w:headerReference w:type="default" r:id="rId8"/>
      <w:headerReference w:type="firs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E6" w:rsidRDefault="00C97DE6" w:rsidP="004F0944">
      <w:r>
        <w:separator/>
      </w:r>
    </w:p>
  </w:endnote>
  <w:endnote w:type="continuationSeparator" w:id="0">
    <w:p w:rsidR="00C97DE6" w:rsidRDefault="00C97DE6" w:rsidP="004F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nionPro-MediumCn">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E6" w:rsidRDefault="00C97DE6" w:rsidP="004F0944">
      <w:r>
        <w:separator/>
      </w:r>
    </w:p>
  </w:footnote>
  <w:footnote w:type="continuationSeparator" w:id="0">
    <w:p w:rsidR="00C97DE6" w:rsidRDefault="00C97DE6" w:rsidP="004F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94" w:rsidRDefault="00387582">
    <w:pPr>
      <w:pStyle w:val="a4"/>
      <w:jc w:val="center"/>
    </w:pPr>
    <w:r>
      <w:fldChar w:fldCharType="begin"/>
    </w:r>
    <w:r>
      <w:instrText xml:space="preserve"> PAGE   \* MERGEFORMAT </w:instrText>
    </w:r>
    <w:r>
      <w:fldChar w:fldCharType="separate"/>
    </w:r>
    <w:r w:rsidR="00DC64AE">
      <w:rPr>
        <w:noProof/>
      </w:rPr>
      <w:t>5</w:t>
    </w:r>
    <w:r>
      <w:rPr>
        <w:noProof/>
      </w:rPr>
      <w:fldChar w:fldCharType="end"/>
    </w:r>
  </w:p>
  <w:p w:rsidR="00BF5B94" w:rsidRDefault="00BF5B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7876"/>
      <w:docPartObj>
        <w:docPartGallery w:val="Page Numbers (Top of Page)"/>
        <w:docPartUnique/>
      </w:docPartObj>
    </w:sdtPr>
    <w:sdtEndPr/>
    <w:sdtContent>
      <w:p w:rsidR="006A4D90" w:rsidRDefault="00387582">
        <w:pPr>
          <w:pStyle w:val="a4"/>
          <w:jc w:val="center"/>
        </w:pPr>
        <w:r>
          <w:fldChar w:fldCharType="begin"/>
        </w:r>
        <w:r>
          <w:instrText xml:space="preserve"> PAGE   \* MERGEFORMAT </w:instrText>
        </w:r>
        <w:r>
          <w:fldChar w:fldCharType="separate"/>
        </w:r>
        <w:r w:rsidR="00DC64AE">
          <w:rPr>
            <w:noProof/>
          </w:rPr>
          <w:t>1</w:t>
        </w:r>
        <w:r>
          <w:rPr>
            <w:noProof/>
          </w:rPr>
          <w:fldChar w:fldCharType="end"/>
        </w:r>
      </w:p>
    </w:sdtContent>
  </w:sdt>
  <w:p w:rsidR="006A4D90" w:rsidRDefault="006A4D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820"/>
    <w:multiLevelType w:val="hybridMultilevel"/>
    <w:tmpl w:val="1EDC1DEC"/>
    <w:lvl w:ilvl="0" w:tplc="2C260512">
      <w:start w:val="1"/>
      <w:numFmt w:val="decimal"/>
      <w:suff w:val="space"/>
      <w:lvlText w:val="%1."/>
      <w:lvlJc w:val="left"/>
      <w:pPr>
        <w:ind w:left="1070" w:hanging="360"/>
      </w:pPr>
      <w:rPr>
        <w:rFonts w:hint="default"/>
        <w:b w:val="0"/>
        <w:i w:val="0"/>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15:restartNumberingAfterBreak="0">
    <w:nsid w:val="0B126753"/>
    <w:multiLevelType w:val="hybridMultilevel"/>
    <w:tmpl w:val="2C0EA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F20A7"/>
    <w:multiLevelType w:val="hybridMultilevel"/>
    <w:tmpl w:val="D034E9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A478F3"/>
    <w:multiLevelType w:val="hybridMultilevel"/>
    <w:tmpl w:val="593A87F6"/>
    <w:lvl w:ilvl="0" w:tplc="587876CE">
      <w:start w:val="6"/>
      <w:numFmt w:val="decimal"/>
      <w:lvlText w:val="%1."/>
      <w:lvlJc w:val="left"/>
      <w:pPr>
        <w:ind w:left="2203"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F7A6397"/>
    <w:multiLevelType w:val="hybridMultilevel"/>
    <w:tmpl w:val="C3A66E7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4BB075E0"/>
    <w:multiLevelType w:val="hybridMultilevel"/>
    <w:tmpl w:val="429848BC"/>
    <w:lvl w:ilvl="0" w:tplc="E5A0E6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4BC4725C"/>
    <w:multiLevelType w:val="hybridMultilevel"/>
    <w:tmpl w:val="884A279A"/>
    <w:lvl w:ilvl="0" w:tplc="34D09F6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6F52FD6"/>
    <w:multiLevelType w:val="hybridMultilevel"/>
    <w:tmpl w:val="D130C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5A77D45"/>
    <w:multiLevelType w:val="hybridMultilevel"/>
    <w:tmpl w:val="EE34CB50"/>
    <w:lvl w:ilvl="0" w:tplc="7B1439F6">
      <w:start w:val="1"/>
      <w:numFmt w:val="decimal"/>
      <w:lvlText w:val="%1."/>
      <w:lvlJc w:val="left"/>
      <w:pPr>
        <w:ind w:left="1886" w:hanging="1035"/>
      </w:pPr>
      <w:rPr>
        <w:rFonts w:hint="default"/>
        <w:color w:val="000000"/>
        <w:lang w:val="kk-KZ"/>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15:restartNumberingAfterBreak="0">
    <w:nsid w:val="728C30BB"/>
    <w:multiLevelType w:val="hybridMultilevel"/>
    <w:tmpl w:val="56B2809E"/>
    <w:lvl w:ilvl="0" w:tplc="3C3418B0">
      <w:start w:val="1"/>
      <w:numFmt w:val="decimal"/>
      <w:lvlText w:val="%1."/>
      <w:lvlJc w:val="left"/>
      <w:pPr>
        <w:ind w:left="-63" w:firstLine="773"/>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0" w15:restartNumberingAfterBreak="0">
    <w:nsid w:val="789C3E8A"/>
    <w:multiLevelType w:val="hybridMultilevel"/>
    <w:tmpl w:val="20E08B2E"/>
    <w:lvl w:ilvl="0" w:tplc="57BAEB4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10"/>
  </w:num>
  <w:num w:numId="4">
    <w:abstractNumId w:val="8"/>
  </w:num>
  <w:num w:numId="5">
    <w:abstractNumId w:val="6"/>
  </w:num>
  <w:num w:numId="6">
    <w:abstractNumId w:val="4"/>
  </w:num>
  <w:num w:numId="7">
    <w:abstractNumId w:val="2"/>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46D7"/>
    <w:rsid w:val="00004506"/>
    <w:rsid w:val="000046BA"/>
    <w:rsid w:val="00017353"/>
    <w:rsid w:val="00042CD1"/>
    <w:rsid w:val="00050EE8"/>
    <w:rsid w:val="000667CC"/>
    <w:rsid w:val="0009242B"/>
    <w:rsid w:val="000967C8"/>
    <w:rsid w:val="000A1B00"/>
    <w:rsid w:val="000C6208"/>
    <w:rsid w:val="000E0393"/>
    <w:rsid w:val="000E3422"/>
    <w:rsid w:val="000E79B9"/>
    <w:rsid w:val="000F48D2"/>
    <w:rsid w:val="001058E2"/>
    <w:rsid w:val="00106B8B"/>
    <w:rsid w:val="00106FA7"/>
    <w:rsid w:val="0012540E"/>
    <w:rsid w:val="001267D3"/>
    <w:rsid w:val="001353F2"/>
    <w:rsid w:val="00135D66"/>
    <w:rsid w:val="001419BF"/>
    <w:rsid w:val="001473F6"/>
    <w:rsid w:val="0015509B"/>
    <w:rsid w:val="0016607F"/>
    <w:rsid w:val="001966E8"/>
    <w:rsid w:val="001A4BF3"/>
    <w:rsid w:val="001B0425"/>
    <w:rsid w:val="001B1296"/>
    <w:rsid w:val="001D53D4"/>
    <w:rsid w:val="001D69B2"/>
    <w:rsid w:val="001D7104"/>
    <w:rsid w:val="001E1F4F"/>
    <w:rsid w:val="001F0FDF"/>
    <w:rsid w:val="001F1D19"/>
    <w:rsid w:val="002112C1"/>
    <w:rsid w:val="00216147"/>
    <w:rsid w:val="00220CB2"/>
    <w:rsid w:val="0022400C"/>
    <w:rsid w:val="002455D5"/>
    <w:rsid w:val="0027060C"/>
    <w:rsid w:val="00271B6F"/>
    <w:rsid w:val="00276685"/>
    <w:rsid w:val="00286BE7"/>
    <w:rsid w:val="0029101C"/>
    <w:rsid w:val="0029147F"/>
    <w:rsid w:val="002A14E6"/>
    <w:rsid w:val="002A4F7C"/>
    <w:rsid w:val="002A7F80"/>
    <w:rsid w:val="002C1C63"/>
    <w:rsid w:val="002C34B1"/>
    <w:rsid w:val="002D5A23"/>
    <w:rsid w:val="002E0FCA"/>
    <w:rsid w:val="002E4130"/>
    <w:rsid w:val="002E420C"/>
    <w:rsid w:val="002E5460"/>
    <w:rsid w:val="002F35B4"/>
    <w:rsid w:val="00301524"/>
    <w:rsid w:val="00304337"/>
    <w:rsid w:val="003135FE"/>
    <w:rsid w:val="00320024"/>
    <w:rsid w:val="0032349C"/>
    <w:rsid w:val="00324A8A"/>
    <w:rsid w:val="00330852"/>
    <w:rsid w:val="003345CE"/>
    <w:rsid w:val="00336408"/>
    <w:rsid w:val="00347B19"/>
    <w:rsid w:val="00352724"/>
    <w:rsid w:val="00352C98"/>
    <w:rsid w:val="003539CA"/>
    <w:rsid w:val="00353C52"/>
    <w:rsid w:val="00360C54"/>
    <w:rsid w:val="00370B1A"/>
    <w:rsid w:val="00377721"/>
    <w:rsid w:val="00387582"/>
    <w:rsid w:val="003A6069"/>
    <w:rsid w:val="003D147B"/>
    <w:rsid w:val="003D4A6B"/>
    <w:rsid w:val="003D7794"/>
    <w:rsid w:val="003F67CF"/>
    <w:rsid w:val="00405A8D"/>
    <w:rsid w:val="00416664"/>
    <w:rsid w:val="0042455F"/>
    <w:rsid w:val="004272C7"/>
    <w:rsid w:val="004310F4"/>
    <w:rsid w:val="00433ACA"/>
    <w:rsid w:val="00442358"/>
    <w:rsid w:val="00444037"/>
    <w:rsid w:val="00454EAB"/>
    <w:rsid w:val="004550B2"/>
    <w:rsid w:val="00474161"/>
    <w:rsid w:val="00476E11"/>
    <w:rsid w:val="00480432"/>
    <w:rsid w:val="004A7D7D"/>
    <w:rsid w:val="004B5152"/>
    <w:rsid w:val="004C143A"/>
    <w:rsid w:val="004C28FB"/>
    <w:rsid w:val="004C680E"/>
    <w:rsid w:val="004D2470"/>
    <w:rsid w:val="004E155B"/>
    <w:rsid w:val="004E225D"/>
    <w:rsid w:val="004E2337"/>
    <w:rsid w:val="004E2B1D"/>
    <w:rsid w:val="004E575D"/>
    <w:rsid w:val="004F0944"/>
    <w:rsid w:val="0050343E"/>
    <w:rsid w:val="005079CE"/>
    <w:rsid w:val="00511752"/>
    <w:rsid w:val="00512A89"/>
    <w:rsid w:val="00520701"/>
    <w:rsid w:val="00552877"/>
    <w:rsid w:val="00552883"/>
    <w:rsid w:val="00565231"/>
    <w:rsid w:val="005715E8"/>
    <w:rsid w:val="005737FF"/>
    <w:rsid w:val="00584647"/>
    <w:rsid w:val="00592B09"/>
    <w:rsid w:val="005A1F8B"/>
    <w:rsid w:val="005A2B39"/>
    <w:rsid w:val="005A5F4D"/>
    <w:rsid w:val="005C4406"/>
    <w:rsid w:val="005D2C2C"/>
    <w:rsid w:val="005D45C9"/>
    <w:rsid w:val="005D7325"/>
    <w:rsid w:val="005E016A"/>
    <w:rsid w:val="005E0515"/>
    <w:rsid w:val="005F19A8"/>
    <w:rsid w:val="005F42E6"/>
    <w:rsid w:val="0060156C"/>
    <w:rsid w:val="006126E1"/>
    <w:rsid w:val="00614C91"/>
    <w:rsid w:val="00622F4F"/>
    <w:rsid w:val="00623906"/>
    <w:rsid w:val="00623EFC"/>
    <w:rsid w:val="00624480"/>
    <w:rsid w:val="0063014E"/>
    <w:rsid w:val="006350D1"/>
    <w:rsid w:val="0063588D"/>
    <w:rsid w:val="00635E01"/>
    <w:rsid w:val="006430D4"/>
    <w:rsid w:val="00660A8B"/>
    <w:rsid w:val="006632F7"/>
    <w:rsid w:val="00670A92"/>
    <w:rsid w:val="00673F1C"/>
    <w:rsid w:val="00680B6B"/>
    <w:rsid w:val="00686FEE"/>
    <w:rsid w:val="006870D9"/>
    <w:rsid w:val="00695C34"/>
    <w:rsid w:val="006A3818"/>
    <w:rsid w:val="006A4D90"/>
    <w:rsid w:val="006B0A0C"/>
    <w:rsid w:val="006B3B62"/>
    <w:rsid w:val="006B6DA9"/>
    <w:rsid w:val="006C13DF"/>
    <w:rsid w:val="006C2157"/>
    <w:rsid w:val="006D00F0"/>
    <w:rsid w:val="006D2260"/>
    <w:rsid w:val="006D723A"/>
    <w:rsid w:val="006E419A"/>
    <w:rsid w:val="006E62C6"/>
    <w:rsid w:val="006F3AFF"/>
    <w:rsid w:val="006F6A5B"/>
    <w:rsid w:val="00703820"/>
    <w:rsid w:val="00720C84"/>
    <w:rsid w:val="00724EFF"/>
    <w:rsid w:val="00737A89"/>
    <w:rsid w:val="00743695"/>
    <w:rsid w:val="007442E3"/>
    <w:rsid w:val="0074740C"/>
    <w:rsid w:val="00751074"/>
    <w:rsid w:val="0077004A"/>
    <w:rsid w:val="00770852"/>
    <w:rsid w:val="00781C5A"/>
    <w:rsid w:val="00785B0A"/>
    <w:rsid w:val="00786FA3"/>
    <w:rsid w:val="007A0925"/>
    <w:rsid w:val="007A2F0A"/>
    <w:rsid w:val="007E0C5C"/>
    <w:rsid w:val="007E2877"/>
    <w:rsid w:val="007E6BF6"/>
    <w:rsid w:val="007E7237"/>
    <w:rsid w:val="007F26CF"/>
    <w:rsid w:val="007F467C"/>
    <w:rsid w:val="007F5519"/>
    <w:rsid w:val="00803AEA"/>
    <w:rsid w:val="00814DB5"/>
    <w:rsid w:val="00822F58"/>
    <w:rsid w:val="00825C4F"/>
    <w:rsid w:val="00827EFC"/>
    <w:rsid w:val="00832A9B"/>
    <w:rsid w:val="008361A6"/>
    <w:rsid w:val="00855159"/>
    <w:rsid w:val="00856AD5"/>
    <w:rsid w:val="0085720A"/>
    <w:rsid w:val="008752A0"/>
    <w:rsid w:val="00875C64"/>
    <w:rsid w:val="00897EDF"/>
    <w:rsid w:val="008B18DF"/>
    <w:rsid w:val="008C647D"/>
    <w:rsid w:val="008D4643"/>
    <w:rsid w:val="008D48E7"/>
    <w:rsid w:val="008D4BB4"/>
    <w:rsid w:val="008E3747"/>
    <w:rsid w:val="008E4716"/>
    <w:rsid w:val="008F25BF"/>
    <w:rsid w:val="008F2E8C"/>
    <w:rsid w:val="008F37A9"/>
    <w:rsid w:val="008F38C5"/>
    <w:rsid w:val="008F4BB9"/>
    <w:rsid w:val="008F5840"/>
    <w:rsid w:val="008F67B4"/>
    <w:rsid w:val="008F6BD4"/>
    <w:rsid w:val="00902170"/>
    <w:rsid w:val="009121DE"/>
    <w:rsid w:val="00912916"/>
    <w:rsid w:val="009237CA"/>
    <w:rsid w:val="0092509E"/>
    <w:rsid w:val="0093321D"/>
    <w:rsid w:val="0094365B"/>
    <w:rsid w:val="009605C1"/>
    <w:rsid w:val="009610B7"/>
    <w:rsid w:val="009806E7"/>
    <w:rsid w:val="00981B19"/>
    <w:rsid w:val="00984873"/>
    <w:rsid w:val="0099386D"/>
    <w:rsid w:val="009A6179"/>
    <w:rsid w:val="009B6309"/>
    <w:rsid w:val="009D0584"/>
    <w:rsid w:val="009D0B2A"/>
    <w:rsid w:val="009D7221"/>
    <w:rsid w:val="009E0E27"/>
    <w:rsid w:val="009E106B"/>
    <w:rsid w:val="009E52FC"/>
    <w:rsid w:val="009F07CF"/>
    <w:rsid w:val="009F46F1"/>
    <w:rsid w:val="00A04422"/>
    <w:rsid w:val="00A057EC"/>
    <w:rsid w:val="00A128D2"/>
    <w:rsid w:val="00A17E6D"/>
    <w:rsid w:val="00A241C2"/>
    <w:rsid w:val="00A246D7"/>
    <w:rsid w:val="00A31D60"/>
    <w:rsid w:val="00A450BB"/>
    <w:rsid w:val="00A50A6A"/>
    <w:rsid w:val="00A55AD0"/>
    <w:rsid w:val="00A56BF3"/>
    <w:rsid w:val="00A75DDB"/>
    <w:rsid w:val="00A862FE"/>
    <w:rsid w:val="00A8655A"/>
    <w:rsid w:val="00A942A5"/>
    <w:rsid w:val="00AA4EB7"/>
    <w:rsid w:val="00AB6C75"/>
    <w:rsid w:val="00AC24A8"/>
    <w:rsid w:val="00AC37D0"/>
    <w:rsid w:val="00AD10F9"/>
    <w:rsid w:val="00AE6E12"/>
    <w:rsid w:val="00AE7E81"/>
    <w:rsid w:val="00AF02EB"/>
    <w:rsid w:val="00AF187E"/>
    <w:rsid w:val="00B03932"/>
    <w:rsid w:val="00B04C9B"/>
    <w:rsid w:val="00B05196"/>
    <w:rsid w:val="00B06359"/>
    <w:rsid w:val="00B13EA1"/>
    <w:rsid w:val="00B23E8C"/>
    <w:rsid w:val="00B33317"/>
    <w:rsid w:val="00B41620"/>
    <w:rsid w:val="00B41EEC"/>
    <w:rsid w:val="00B5214C"/>
    <w:rsid w:val="00B52C01"/>
    <w:rsid w:val="00B63433"/>
    <w:rsid w:val="00B642F5"/>
    <w:rsid w:val="00B64960"/>
    <w:rsid w:val="00B64ADC"/>
    <w:rsid w:val="00B7090D"/>
    <w:rsid w:val="00B72AA0"/>
    <w:rsid w:val="00B73D6C"/>
    <w:rsid w:val="00B773DD"/>
    <w:rsid w:val="00B822F5"/>
    <w:rsid w:val="00B858A6"/>
    <w:rsid w:val="00BA3418"/>
    <w:rsid w:val="00BA5C01"/>
    <w:rsid w:val="00BB1490"/>
    <w:rsid w:val="00BB5FA6"/>
    <w:rsid w:val="00BC15A5"/>
    <w:rsid w:val="00BD64D9"/>
    <w:rsid w:val="00BE4723"/>
    <w:rsid w:val="00BF5B94"/>
    <w:rsid w:val="00C1040E"/>
    <w:rsid w:val="00C10B09"/>
    <w:rsid w:val="00C162CE"/>
    <w:rsid w:val="00C2101F"/>
    <w:rsid w:val="00C24734"/>
    <w:rsid w:val="00C24DFA"/>
    <w:rsid w:val="00C30D2C"/>
    <w:rsid w:val="00C340EB"/>
    <w:rsid w:val="00C4526F"/>
    <w:rsid w:val="00C54731"/>
    <w:rsid w:val="00C554BE"/>
    <w:rsid w:val="00C56DA6"/>
    <w:rsid w:val="00C767A8"/>
    <w:rsid w:val="00C83A41"/>
    <w:rsid w:val="00C86BCC"/>
    <w:rsid w:val="00C94530"/>
    <w:rsid w:val="00C97DE6"/>
    <w:rsid w:val="00CA4068"/>
    <w:rsid w:val="00CA41BC"/>
    <w:rsid w:val="00CC1A2D"/>
    <w:rsid w:val="00CE44EE"/>
    <w:rsid w:val="00CF2CB8"/>
    <w:rsid w:val="00CF45ED"/>
    <w:rsid w:val="00CF61CE"/>
    <w:rsid w:val="00D00CA4"/>
    <w:rsid w:val="00D023D9"/>
    <w:rsid w:val="00D03E44"/>
    <w:rsid w:val="00D04774"/>
    <w:rsid w:val="00D05F7E"/>
    <w:rsid w:val="00D26732"/>
    <w:rsid w:val="00D30FED"/>
    <w:rsid w:val="00D32BF9"/>
    <w:rsid w:val="00D4012B"/>
    <w:rsid w:val="00D40A92"/>
    <w:rsid w:val="00D44565"/>
    <w:rsid w:val="00D70267"/>
    <w:rsid w:val="00D70985"/>
    <w:rsid w:val="00D713DC"/>
    <w:rsid w:val="00D81CAE"/>
    <w:rsid w:val="00D844AD"/>
    <w:rsid w:val="00D91922"/>
    <w:rsid w:val="00DC1AAA"/>
    <w:rsid w:val="00DC1C9E"/>
    <w:rsid w:val="00DC3268"/>
    <w:rsid w:val="00DC5CC1"/>
    <w:rsid w:val="00DC64AE"/>
    <w:rsid w:val="00DE460F"/>
    <w:rsid w:val="00DF347F"/>
    <w:rsid w:val="00DF3DA6"/>
    <w:rsid w:val="00E01CAE"/>
    <w:rsid w:val="00E135DC"/>
    <w:rsid w:val="00E14299"/>
    <w:rsid w:val="00E217B9"/>
    <w:rsid w:val="00E23C0E"/>
    <w:rsid w:val="00E27EDA"/>
    <w:rsid w:val="00E35847"/>
    <w:rsid w:val="00E465CC"/>
    <w:rsid w:val="00E53BFB"/>
    <w:rsid w:val="00E64570"/>
    <w:rsid w:val="00E77045"/>
    <w:rsid w:val="00E8384D"/>
    <w:rsid w:val="00EB6A15"/>
    <w:rsid w:val="00ED589E"/>
    <w:rsid w:val="00ED6F01"/>
    <w:rsid w:val="00EE12AC"/>
    <w:rsid w:val="00EE3AFC"/>
    <w:rsid w:val="00F14840"/>
    <w:rsid w:val="00F20274"/>
    <w:rsid w:val="00F272F1"/>
    <w:rsid w:val="00F346E7"/>
    <w:rsid w:val="00F34844"/>
    <w:rsid w:val="00F45AEA"/>
    <w:rsid w:val="00F46D3E"/>
    <w:rsid w:val="00F57946"/>
    <w:rsid w:val="00F61398"/>
    <w:rsid w:val="00F62E83"/>
    <w:rsid w:val="00F75846"/>
    <w:rsid w:val="00F77646"/>
    <w:rsid w:val="00F84E04"/>
    <w:rsid w:val="00F87FD3"/>
    <w:rsid w:val="00F93DAF"/>
    <w:rsid w:val="00F97B0A"/>
    <w:rsid w:val="00FA0C82"/>
    <w:rsid w:val="00FA775D"/>
    <w:rsid w:val="00FB27E7"/>
    <w:rsid w:val="00FC288B"/>
    <w:rsid w:val="00FC4048"/>
    <w:rsid w:val="00FC646C"/>
    <w:rsid w:val="00FC7C29"/>
    <w:rsid w:val="00FE03D9"/>
    <w:rsid w:val="00FE32F8"/>
    <w:rsid w:val="00FE436B"/>
    <w:rsid w:val="00FF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8"/>
        <o:r id="V:Rule2" type="connector" idref="#_x0000_s1071"/>
        <o:r id="V:Rule3" type="connector" idref="#_x0000_s1074"/>
        <o:r id="V:Rule4" type="connector" idref="#_x0000_s1086"/>
        <o:r id="V:Rule5" type="connector" idref="#_x0000_s1087"/>
        <o:r id="V:Rule6" type="connector" idref="#_x0000_s1075"/>
        <o:r id="V:Rule7" type="connector" idref="#_x0000_s1066"/>
        <o:r id="V:Rule8" type="connector" idref="#_x0000_s1092"/>
        <o:r id="V:Rule9" type="connector" idref="#_x0000_s1062"/>
        <o:r id="V:Rule10" type="connector" idref="#_x0000_s1067"/>
        <o:r id="V:Rule11" type="connector" idref="#_x0000_s1079"/>
        <o:r id="V:Rule12" type="connector" idref="#_x0000_s1056"/>
        <o:r id="V:Rule13" type="connector" idref="#_x0000_s1082"/>
        <o:r id="V:Rule14" type="connector" idref="#_x0000_s1059"/>
        <o:r id="V:Rule15" type="connector" idref="#_x0000_s1070"/>
        <o:r id="V:Rule16" type="connector" idref="#_x0000_s1060"/>
        <o:r id="V:Rule17" type="connector" idref="#_x0000_s1090"/>
        <o:r id="V:Rule18" type="connector" idref="#_x0000_s1083"/>
        <o:r id="V:Rule19" type="connector" idref="#_x0000_s1057"/>
        <o:r id="V:Rule20" type="connector" idref="#_x0000_s1064"/>
      </o:rules>
    </o:shapelayout>
  </w:shapeDefaults>
  <w:decimalSymbol w:val=","/>
  <w:listSeparator w:val=";"/>
  <w14:docId w14:val="33A94A29"/>
  <w15:docId w15:val="{EECA83A1-5587-469F-8B1C-75149827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D7"/>
    <w:rPr>
      <w:rFonts w:ascii="Times New Roman" w:eastAsia="Times New Roman" w:hAnsi="Times New Roman"/>
      <w:sz w:val="24"/>
      <w:szCs w:val="24"/>
    </w:rPr>
  </w:style>
  <w:style w:type="paragraph" w:styleId="3">
    <w:name w:val="heading 3"/>
    <w:basedOn w:val="a"/>
    <w:next w:val="a"/>
    <w:link w:val="30"/>
    <w:uiPriority w:val="9"/>
    <w:semiHidden/>
    <w:unhideWhenUsed/>
    <w:qFormat/>
    <w:rsid w:val="001F1D1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6D7"/>
    <w:pPr>
      <w:ind w:left="720"/>
      <w:contextualSpacing/>
    </w:pPr>
  </w:style>
  <w:style w:type="paragraph" w:styleId="a4">
    <w:name w:val="header"/>
    <w:basedOn w:val="a"/>
    <w:link w:val="a5"/>
    <w:uiPriority w:val="99"/>
    <w:unhideWhenUsed/>
    <w:rsid w:val="004F0944"/>
    <w:pPr>
      <w:tabs>
        <w:tab w:val="center" w:pos="4677"/>
        <w:tab w:val="right" w:pos="9355"/>
      </w:tabs>
    </w:pPr>
  </w:style>
  <w:style w:type="character" w:customStyle="1" w:styleId="a5">
    <w:name w:val="Верхний колонтитул Знак"/>
    <w:basedOn w:val="a0"/>
    <w:link w:val="a4"/>
    <w:uiPriority w:val="99"/>
    <w:rsid w:val="004F0944"/>
    <w:rPr>
      <w:rFonts w:ascii="Times New Roman" w:eastAsia="Times New Roman" w:hAnsi="Times New Roman" w:cs="Times New Roman"/>
      <w:sz w:val="24"/>
      <w:szCs w:val="24"/>
      <w:lang w:val="en" w:eastAsia="ru-RU"/>
    </w:rPr>
  </w:style>
  <w:style w:type="paragraph" w:styleId="a6">
    <w:name w:val="footer"/>
    <w:basedOn w:val="a"/>
    <w:link w:val="a7"/>
    <w:uiPriority w:val="99"/>
    <w:unhideWhenUsed/>
    <w:rsid w:val="004F0944"/>
    <w:pPr>
      <w:tabs>
        <w:tab w:val="center" w:pos="4677"/>
        <w:tab w:val="right" w:pos="9355"/>
      </w:tabs>
    </w:pPr>
  </w:style>
  <w:style w:type="character" w:customStyle="1" w:styleId="a7">
    <w:name w:val="Нижний колонтитул Знак"/>
    <w:basedOn w:val="a0"/>
    <w:link w:val="a6"/>
    <w:uiPriority w:val="99"/>
    <w:rsid w:val="004F0944"/>
    <w:rPr>
      <w:rFonts w:ascii="Times New Roman" w:eastAsia="Times New Roman" w:hAnsi="Times New Roman" w:cs="Times New Roman"/>
      <w:sz w:val="24"/>
      <w:szCs w:val="24"/>
      <w:lang w:val="en" w:eastAsia="ru-RU"/>
    </w:rPr>
  </w:style>
  <w:style w:type="table" w:styleId="a8">
    <w:name w:val="Table Grid"/>
    <w:basedOn w:val="a1"/>
    <w:uiPriority w:val="59"/>
    <w:rsid w:val="00B52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semiHidden/>
    <w:rsid w:val="001F1D19"/>
    <w:rPr>
      <w:rFonts w:ascii="Cambria" w:eastAsia="Times New Roman" w:hAnsi="Cambria" w:cs="Times New Roman"/>
      <w:b/>
      <w:bCs/>
      <w:sz w:val="26"/>
      <w:szCs w:val="26"/>
    </w:rPr>
  </w:style>
  <w:style w:type="character" w:styleId="a9">
    <w:name w:val="Hyperlink"/>
    <w:basedOn w:val="a0"/>
    <w:uiPriority w:val="99"/>
    <w:semiHidden/>
    <w:unhideWhenUsed/>
    <w:rsid w:val="00827EFC"/>
    <w:rPr>
      <w:color w:val="0000FF"/>
      <w:u w:val="single"/>
    </w:rPr>
  </w:style>
  <w:style w:type="paragraph" w:styleId="31">
    <w:name w:val="Body Text 3"/>
    <w:basedOn w:val="a"/>
    <w:link w:val="32"/>
    <w:rsid w:val="00347B19"/>
    <w:pPr>
      <w:spacing w:after="120"/>
    </w:pPr>
    <w:rPr>
      <w:sz w:val="16"/>
      <w:szCs w:val="16"/>
    </w:rPr>
  </w:style>
  <w:style w:type="character" w:customStyle="1" w:styleId="32">
    <w:name w:val="Основной текст 3 Знак"/>
    <w:basedOn w:val="a0"/>
    <w:link w:val="31"/>
    <w:rsid w:val="00347B19"/>
    <w:rPr>
      <w:rFonts w:ascii="Times New Roman" w:eastAsia="Times New Roman" w:hAnsi="Times New Roman"/>
      <w:sz w:val="16"/>
      <w:szCs w:val="16"/>
    </w:rPr>
  </w:style>
  <w:style w:type="paragraph" w:styleId="aa">
    <w:name w:val="Subtitle"/>
    <w:basedOn w:val="a"/>
    <w:link w:val="ab"/>
    <w:qFormat/>
    <w:rsid w:val="002E4130"/>
    <w:pPr>
      <w:jc w:val="center"/>
    </w:pPr>
    <w:rPr>
      <w:sz w:val="28"/>
    </w:rPr>
  </w:style>
  <w:style w:type="character" w:customStyle="1" w:styleId="ab">
    <w:name w:val="Подзаголовок Знак"/>
    <w:basedOn w:val="a0"/>
    <w:link w:val="aa"/>
    <w:rsid w:val="002E4130"/>
    <w:rPr>
      <w:rFonts w:ascii="Times New Roman" w:eastAsia="Times New Roman" w:hAnsi="Times New Roman"/>
      <w:sz w:val="28"/>
      <w:szCs w:val="24"/>
    </w:rPr>
  </w:style>
  <w:style w:type="paragraph" w:customStyle="1" w:styleId="OsnTxt">
    <w:name w:val="OsnTxt"/>
    <w:link w:val="OsnTxt0"/>
    <w:rsid w:val="00F97B0A"/>
    <w:pPr>
      <w:spacing w:line="280" w:lineRule="exact"/>
      <w:ind w:firstLine="794"/>
      <w:jc w:val="both"/>
    </w:pPr>
    <w:rPr>
      <w:rFonts w:ascii="Arial" w:eastAsia="Times New Roman" w:hAnsi="Arial"/>
    </w:rPr>
  </w:style>
  <w:style w:type="character" w:customStyle="1" w:styleId="OsnTxt0">
    <w:name w:val="OsnTxt Знак"/>
    <w:basedOn w:val="a0"/>
    <w:link w:val="OsnTxt"/>
    <w:rsid w:val="00F97B0A"/>
    <w:rPr>
      <w:rFonts w:ascii="Arial" w:eastAsia="Times New Roman" w:hAnsi="Arial"/>
      <w:lang w:val="en" w:eastAsia="ru-RU" w:bidi="ar-SA"/>
    </w:rPr>
  </w:style>
  <w:style w:type="paragraph" w:styleId="ac">
    <w:name w:val="Normal (Web)"/>
    <w:basedOn w:val="a"/>
    <w:uiPriority w:val="99"/>
    <w:rsid w:val="005F19A8"/>
    <w:pPr>
      <w:spacing w:before="100" w:beforeAutospacing="1" w:after="100" w:afterAutospacing="1"/>
    </w:pPr>
  </w:style>
  <w:style w:type="paragraph" w:styleId="ad">
    <w:name w:val="No Spacing"/>
    <w:uiPriority w:val="1"/>
    <w:qFormat/>
    <w:rsid w:val="00474161"/>
    <w:rPr>
      <w:sz w:val="22"/>
      <w:szCs w:val="22"/>
      <w:lang w:eastAsia="en-US"/>
    </w:rPr>
  </w:style>
  <w:style w:type="character" w:customStyle="1" w:styleId="hps">
    <w:name w:val="hps"/>
    <w:basedOn w:val="a0"/>
    <w:rsid w:val="00856AD5"/>
  </w:style>
  <w:style w:type="character" w:customStyle="1" w:styleId="ae">
    <w:name w:val="Основной текст_"/>
    <w:link w:val="2"/>
    <w:uiPriority w:val="99"/>
    <w:locked/>
    <w:rsid w:val="00743695"/>
    <w:rPr>
      <w:sz w:val="26"/>
      <w:szCs w:val="26"/>
      <w:shd w:val="clear" w:color="auto" w:fill="FFFFFF"/>
    </w:rPr>
  </w:style>
  <w:style w:type="paragraph" w:customStyle="1" w:styleId="2">
    <w:name w:val="Основной текст2"/>
    <w:basedOn w:val="a"/>
    <w:link w:val="ae"/>
    <w:uiPriority w:val="99"/>
    <w:rsid w:val="00743695"/>
    <w:pPr>
      <w:widowControl w:val="0"/>
      <w:shd w:val="clear" w:color="auto" w:fill="FFFFFF"/>
      <w:spacing w:before="360" w:line="317" w:lineRule="exact"/>
      <w:ind w:hanging="260"/>
      <w:jc w:val="center"/>
    </w:pPr>
    <w:rPr>
      <w:rFonts w:ascii="Calibri" w:eastAsia="Calibri" w:hAnsi="Calibri"/>
      <w:sz w:val="26"/>
      <w:szCs w:val="26"/>
      <w:shd w:val="clear" w:color="auto" w:fill="FFFFFF"/>
    </w:rPr>
  </w:style>
  <w:style w:type="paragraph" w:customStyle="1" w:styleId="af">
    <w:name w:val="ОснТекст"/>
    <w:link w:val="af0"/>
    <w:uiPriority w:val="99"/>
    <w:rsid w:val="00D81CAE"/>
    <w:pPr>
      <w:ind w:firstLine="709"/>
      <w:jc w:val="both"/>
    </w:pPr>
    <w:rPr>
      <w:rFonts w:ascii="Times New Roman" w:eastAsia="Times New Roman" w:hAnsi="Times New Roman"/>
    </w:rPr>
  </w:style>
  <w:style w:type="character" w:customStyle="1" w:styleId="af0">
    <w:name w:val="ОснТекст Знак"/>
    <w:basedOn w:val="a0"/>
    <w:link w:val="af"/>
    <w:uiPriority w:val="99"/>
    <w:locked/>
    <w:rsid w:val="00D81CAE"/>
    <w:rPr>
      <w:rFonts w:ascii="Times New Roman" w:eastAsia="Times New Roman" w:hAnsi="Times New Roman"/>
    </w:rPr>
  </w:style>
  <w:style w:type="paragraph" w:customStyle="1" w:styleId="af1">
    <w:name w:val="ОснТекст:"/>
    <w:basedOn w:val="a"/>
    <w:next w:val="a"/>
    <w:uiPriority w:val="99"/>
    <w:rsid w:val="00D81CAE"/>
    <w:pPr>
      <w:spacing w:before="30" w:after="120"/>
      <w:ind w:firstLine="709"/>
      <w:jc w:val="both"/>
    </w:pPr>
    <w:rPr>
      <w:noProof/>
      <w:sz w:val="20"/>
      <w:szCs w:val="20"/>
    </w:rPr>
  </w:style>
  <w:style w:type="paragraph" w:customStyle="1" w:styleId="Default">
    <w:name w:val="Default"/>
    <w:rsid w:val="00D81CA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2816">
      <w:bodyDiv w:val="1"/>
      <w:marLeft w:val="0"/>
      <w:marRight w:val="0"/>
      <w:marTop w:val="0"/>
      <w:marBottom w:val="0"/>
      <w:divBdr>
        <w:top w:val="none" w:sz="0" w:space="0" w:color="auto"/>
        <w:left w:val="none" w:sz="0" w:space="0" w:color="auto"/>
        <w:bottom w:val="none" w:sz="0" w:space="0" w:color="auto"/>
        <w:right w:val="none" w:sz="0" w:space="0" w:color="auto"/>
      </w:divBdr>
    </w:div>
    <w:div w:id="316501110">
      <w:bodyDiv w:val="1"/>
      <w:marLeft w:val="0"/>
      <w:marRight w:val="0"/>
      <w:marTop w:val="0"/>
      <w:marBottom w:val="0"/>
      <w:divBdr>
        <w:top w:val="none" w:sz="0" w:space="0" w:color="auto"/>
        <w:left w:val="none" w:sz="0" w:space="0" w:color="auto"/>
        <w:bottom w:val="none" w:sz="0" w:space="0" w:color="auto"/>
        <w:right w:val="none" w:sz="0" w:space="0" w:color="auto"/>
      </w:divBdr>
    </w:div>
    <w:div w:id="344093079">
      <w:bodyDiv w:val="1"/>
      <w:marLeft w:val="0"/>
      <w:marRight w:val="0"/>
      <w:marTop w:val="0"/>
      <w:marBottom w:val="0"/>
      <w:divBdr>
        <w:top w:val="none" w:sz="0" w:space="0" w:color="auto"/>
        <w:left w:val="none" w:sz="0" w:space="0" w:color="auto"/>
        <w:bottom w:val="none" w:sz="0" w:space="0" w:color="auto"/>
        <w:right w:val="none" w:sz="0" w:space="0" w:color="auto"/>
      </w:divBdr>
    </w:div>
    <w:div w:id="494299062">
      <w:bodyDiv w:val="1"/>
      <w:marLeft w:val="0"/>
      <w:marRight w:val="0"/>
      <w:marTop w:val="0"/>
      <w:marBottom w:val="0"/>
      <w:divBdr>
        <w:top w:val="none" w:sz="0" w:space="0" w:color="auto"/>
        <w:left w:val="none" w:sz="0" w:space="0" w:color="auto"/>
        <w:bottom w:val="none" w:sz="0" w:space="0" w:color="auto"/>
        <w:right w:val="none" w:sz="0" w:space="0" w:color="auto"/>
      </w:divBdr>
    </w:div>
    <w:div w:id="548613625">
      <w:bodyDiv w:val="1"/>
      <w:marLeft w:val="0"/>
      <w:marRight w:val="0"/>
      <w:marTop w:val="0"/>
      <w:marBottom w:val="0"/>
      <w:divBdr>
        <w:top w:val="none" w:sz="0" w:space="0" w:color="auto"/>
        <w:left w:val="none" w:sz="0" w:space="0" w:color="auto"/>
        <w:bottom w:val="none" w:sz="0" w:space="0" w:color="auto"/>
        <w:right w:val="none" w:sz="0" w:space="0" w:color="auto"/>
      </w:divBdr>
    </w:div>
    <w:div w:id="585114613">
      <w:bodyDiv w:val="1"/>
      <w:marLeft w:val="0"/>
      <w:marRight w:val="0"/>
      <w:marTop w:val="0"/>
      <w:marBottom w:val="0"/>
      <w:divBdr>
        <w:top w:val="none" w:sz="0" w:space="0" w:color="auto"/>
        <w:left w:val="none" w:sz="0" w:space="0" w:color="auto"/>
        <w:bottom w:val="none" w:sz="0" w:space="0" w:color="auto"/>
        <w:right w:val="none" w:sz="0" w:space="0" w:color="auto"/>
      </w:divBdr>
    </w:div>
    <w:div w:id="609898775">
      <w:bodyDiv w:val="1"/>
      <w:marLeft w:val="0"/>
      <w:marRight w:val="0"/>
      <w:marTop w:val="0"/>
      <w:marBottom w:val="0"/>
      <w:divBdr>
        <w:top w:val="none" w:sz="0" w:space="0" w:color="auto"/>
        <w:left w:val="none" w:sz="0" w:space="0" w:color="auto"/>
        <w:bottom w:val="none" w:sz="0" w:space="0" w:color="auto"/>
        <w:right w:val="none" w:sz="0" w:space="0" w:color="auto"/>
      </w:divBdr>
    </w:div>
    <w:div w:id="818183774">
      <w:bodyDiv w:val="1"/>
      <w:marLeft w:val="0"/>
      <w:marRight w:val="0"/>
      <w:marTop w:val="0"/>
      <w:marBottom w:val="0"/>
      <w:divBdr>
        <w:top w:val="none" w:sz="0" w:space="0" w:color="auto"/>
        <w:left w:val="none" w:sz="0" w:space="0" w:color="auto"/>
        <w:bottom w:val="none" w:sz="0" w:space="0" w:color="auto"/>
        <w:right w:val="none" w:sz="0" w:space="0" w:color="auto"/>
      </w:divBdr>
    </w:div>
    <w:div w:id="999235389">
      <w:bodyDiv w:val="1"/>
      <w:marLeft w:val="0"/>
      <w:marRight w:val="0"/>
      <w:marTop w:val="0"/>
      <w:marBottom w:val="0"/>
      <w:divBdr>
        <w:top w:val="none" w:sz="0" w:space="0" w:color="auto"/>
        <w:left w:val="none" w:sz="0" w:space="0" w:color="auto"/>
        <w:bottom w:val="none" w:sz="0" w:space="0" w:color="auto"/>
        <w:right w:val="none" w:sz="0" w:space="0" w:color="auto"/>
      </w:divBdr>
    </w:div>
    <w:div w:id="1219124606">
      <w:bodyDiv w:val="1"/>
      <w:marLeft w:val="0"/>
      <w:marRight w:val="0"/>
      <w:marTop w:val="0"/>
      <w:marBottom w:val="0"/>
      <w:divBdr>
        <w:top w:val="none" w:sz="0" w:space="0" w:color="auto"/>
        <w:left w:val="none" w:sz="0" w:space="0" w:color="auto"/>
        <w:bottom w:val="none" w:sz="0" w:space="0" w:color="auto"/>
        <w:right w:val="none" w:sz="0" w:space="0" w:color="auto"/>
      </w:divBdr>
    </w:div>
    <w:div w:id="1277716076">
      <w:bodyDiv w:val="1"/>
      <w:marLeft w:val="0"/>
      <w:marRight w:val="0"/>
      <w:marTop w:val="0"/>
      <w:marBottom w:val="0"/>
      <w:divBdr>
        <w:top w:val="none" w:sz="0" w:space="0" w:color="auto"/>
        <w:left w:val="none" w:sz="0" w:space="0" w:color="auto"/>
        <w:bottom w:val="none" w:sz="0" w:space="0" w:color="auto"/>
        <w:right w:val="none" w:sz="0" w:space="0" w:color="auto"/>
      </w:divBdr>
    </w:div>
    <w:div w:id="1479493478">
      <w:bodyDiv w:val="1"/>
      <w:marLeft w:val="0"/>
      <w:marRight w:val="0"/>
      <w:marTop w:val="0"/>
      <w:marBottom w:val="0"/>
      <w:divBdr>
        <w:top w:val="none" w:sz="0" w:space="0" w:color="auto"/>
        <w:left w:val="none" w:sz="0" w:space="0" w:color="auto"/>
        <w:bottom w:val="none" w:sz="0" w:space="0" w:color="auto"/>
        <w:right w:val="none" w:sz="0" w:space="0" w:color="auto"/>
      </w:divBdr>
    </w:div>
    <w:div w:id="1625386387">
      <w:bodyDiv w:val="1"/>
      <w:marLeft w:val="0"/>
      <w:marRight w:val="0"/>
      <w:marTop w:val="0"/>
      <w:marBottom w:val="0"/>
      <w:divBdr>
        <w:top w:val="none" w:sz="0" w:space="0" w:color="auto"/>
        <w:left w:val="none" w:sz="0" w:space="0" w:color="auto"/>
        <w:bottom w:val="none" w:sz="0" w:space="0" w:color="auto"/>
        <w:right w:val="none" w:sz="0" w:space="0" w:color="auto"/>
      </w:divBdr>
    </w:div>
    <w:div w:id="1737510555">
      <w:bodyDiv w:val="1"/>
      <w:marLeft w:val="0"/>
      <w:marRight w:val="0"/>
      <w:marTop w:val="0"/>
      <w:marBottom w:val="0"/>
      <w:divBdr>
        <w:top w:val="none" w:sz="0" w:space="0" w:color="auto"/>
        <w:left w:val="none" w:sz="0" w:space="0" w:color="auto"/>
        <w:bottom w:val="none" w:sz="0" w:space="0" w:color="auto"/>
        <w:right w:val="none" w:sz="0" w:space="0" w:color="auto"/>
      </w:divBdr>
    </w:div>
    <w:div w:id="1805004120">
      <w:bodyDiv w:val="1"/>
      <w:marLeft w:val="0"/>
      <w:marRight w:val="0"/>
      <w:marTop w:val="0"/>
      <w:marBottom w:val="0"/>
      <w:divBdr>
        <w:top w:val="none" w:sz="0" w:space="0" w:color="auto"/>
        <w:left w:val="none" w:sz="0" w:space="0" w:color="auto"/>
        <w:bottom w:val="none" w:sz="0" w:space="0" w:color="auto"/>
        <w:right w:val="none" w:sz="0" w:space="0" w:color="auto"/>
      </w:divBdr>
    </w:div>
    <w:div w:id="2046831344">
      <w:bodyDiv w:val="1"/>
      <w:marLeft w:val="0"/>
      <w:marRight w:val="0"/>
      <w:marTop w:val="0"/>
      <w:marBottom w:val="0"/>
      <w:divBdr>
        <w:top w:val="none" w:sz="0" w:space="0" w:color="auto"/>
        <w:left w:val="none" w:sz="0" w:space="0" w:color="auto"/>
        <w:bottom w:val="none" w:sz="0" w:space="0" w:color="auto"/>
        <w:right w:val="none" w:sz="0" w:space="0" w:color="auto"/>
      </w:divBdr>
    </w:div>
    <w:div w:id="20487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3FCB-320C-4BDE-8F6F-B41FB59C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АРКС</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a.akylbekova</dc:creator>
  <cp:lastModifiedBy>Ибрагим</cp:lastModifiedBy>
  <cp:revision>6</cp:revision>
  <cp:lastPrinted>2017-08-14T04:57:00Z</cp:lastPrinted>
  <dcterms:created xsi:type="dcterms:W3CDTF">2017-09-11T11:32:00Z</dcterms:created>
  <dcterms:modified xsi:type="dcterms:W3CDTF">2023-05-26T06:56:00Z</dcterms:modified>
</cp:coreProperties>
</file>